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TKG 2021 — Veröffentlichung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veröffentlicht nach Unterabschnitt 1 auferlegte Entgeltmaßnahmen.</w:t>
      </w:r>
    </w:p>
    <w:p>
      <w:r>
        <w:t xml:space="preserve">(2) Die Bundesnetzagentur kann gegenüber dem betroffenen Unternehmen anordnen, in welcher Form ein Entgelt oder eine Entgeltänderung einschließlich der Leistungsbeschreibung und sonstiger entgeltrelevanter Bestandteile zu veröffentlichen ist.</w:t>
      </w:r>
    </w:p>
    <w:p>
      <w:r>
        <w:rPr>
          <w:color w:val="555555"/>
          <w:sz w:val="17"/>
        </w:rPr>
        <w:t xml:space="preserve">Zitiervorschlag: § 48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