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TKG 2021 — Anordnungen im Rahmen der Entgeltregulierung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kann im Rahmen oder zur Vorbereitung von Verfahren der Entgeltregulierung nach diesem Abschnitt anordnen, dass das Unternehmen mit beträchtlicher Marktmacht</w:t>
      </w:r>
    </w:p>
    <w:p>
      <w:pPr>
        <w:ind w:left="420"/>
      </w:pPr>
      <w:r>
        <w:t xml:space="preserve">1. ihr detaillierte Angaben zum Leistungsangebot, zum aktuellen und erwarteten Umsatz für Dienstleistungen, zu den aktuellen und erwarteten Absatzmengen und Kosten, zu den voraussehbaren Auswirkungen auf die Endnutzer sowie auf die anderen Unternehmen und sonstige Unterlagen und Angaben zur Verfügung stellt, die sie zur sachgerechten Ausübung der Entgeltregulierung für erforderlich hält,</w:t>
      </w:r>
    </w:p>
    <w:p>
      <w:pPr>
        <w:ind w:left="420"/>
      </w:pPr>
      <w:r>
        <w:t xml:space="preserve">2. die Kostenrechnung in einer Form übermittelt, die es der Bundesnetzagentur ermöglicht, die für die Entgeltregulierung aufgrund dieses Gesetzes notwendigen Daten zu erlangen oder</w:t>
      </w:r>
    </w:p>
    <w:p>
      <w:pPr>
        <w:ind w:left="420"/>
      </w:pPr>
      <w:r>
        <w:t xml:space="preserve">3. Zugang unter bestimmten Tarifsystemen anbietet und bestimmte Kostendeckungsmechanismen anwendet.</w:t>
      </w:r>
    </w:p>
    <w:p>
      <w:r>
        <w:t xml:space="preserve">Soweit nicht anders angeordnet, hat das Unternehmen Angaben nach Satz 1 schriftlich oder elektronisch an die Bundesnetzagentur zu übermitteln. Trifft die Bundesnetzagentur eine Anordnung nach Satz 1 Nummer 3, hat das Unternehmen innerhalb von zwei Wochen einen entsprechenden Entgeltantrag vorzulegen. Die Bundesnetzagentur entscheidet nach Vorlage des Antrags oder nach Ablauf der in Satz 3 genannten Frist innerhalb von vier Wochen.</w:t>
      </w:r>
    </w:p>
    <w:p>
      <w:r>
        <w:t xml:space="preserve">(2) Die Bundesnetzagentur kann zur Durchsetzung der Anordnungen nach Absatz 1 Satz 1 Nummer 1 und 2 nach Maßgabe des Verwaltungsvollstreckungsgesetzes ein Zwangsgeld von bis zu einer Million Euro festsetzen.</w:t>
      </w:r>
    </w:p>
    <w:p>
      <w:r>
        <w:t xml:space="preserve">(3) Die Bundesnetzagentur kann auch von Unternehmen, die nicht über beträchtliche Marktmacht verfügen, Angaben nach Absatz 1 Satz 1 Nummer 1 und 2 verlangen sowie nach Absatz 2 vorgehen, wenn dies zur sachgerechten Ausübung der Entgeltregulierung erforderlich ist.</w:t>
      </w:r>
    </w:p>
    <w:p>
      <w:r>
        <w:rPr>
          <w:color w:val="555555"/>
          <w:sz w:val="17"/>
        </w:rPr>
        <w:t xml:space="preserve">Zitiervorschlag: § 47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