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TKG 2021 — Nachträgliche Missbrauchsprüfung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Werden der Bundesnetzagentur Tatsachen bekannt oder bekannt gemacht, die die Annahme rechtfertigen, dass Entgelte für Zugangsleistungen von Unternehmen mit beträchtlicher Marktmacht nicht den Anforderungen des § 37 genügen, leitet die Bundesnetzagentur unverzüglich eine Überprüfung der Entgelte ein; im Falle des § 38 Absatz 3 Satz 2 findet § 37 entsprechend Anwendung. Die Bundesnetzagentur teilt die Einleitung der Überprüfung dem betroffenen Unternehmen schriftlich oder elektronisch mit.</w:t>
      </w:r>
    </w:p>
    <w:p>
      <w:r>
        <w:t xml:space="preserve">(2) Die Bundesnetzagentur entscheidet innerhalb von zwei Monaten nach Einleitung der Überprüfung nach Absatz 1.</w:t>
      </w:r>
    </w:p>
    <w:p>
      <w:r>
        <w:t xml:space="preserve">(3) Stellt die Bundesnetzagentur in der Entscheidung nach Absatz 2 fest, dass Entgelte für Zugangsleistungen nicht den Anforderungen des § 37 genügen, untersagt sie das nach diesem Gesetz verbotene Verhalten und erklärt die beanstandeten Entgelte ab dem Zeitpunkt der Feststellung für unwirksam.</w:t>
      </w:r>
    </w:p>
    <w:p>
      <w:r>
        <w:t xml:space="preserve">(4) Legt das betroffene Unternehmen innerhalb eines Monats ab dem Zeitpunkt der Feststellung nach Absatz 3 Vorschläge zur Änderung der Entgelte vor, prüft die Bundesnetzagentur binnen eines Monats ab der Vorlage der Vorschläge, ob diese die festgestellten Verstöße gegen die Anforderungen des § 37 abstellen. Mit der Feststellung, dass vorgelegte geänderte Entgelte den Anforderungen des § 37 genügen, werden diese Entgelte unverzüglich wirksam.</w:t>
      </w:r>
    </w:p>
    <w:p>
      <w:r>
        <w:t xml:space="preserve">(5) Erfolgt keine Vorlage nach Absatz 4 oder gelangt die Bundesnetzagentur nach Absatz 4 zu der Feststellung, dass die vorgelegten geänderten Entgelte ungenügend sind, ordnet die Bundesnetzagentur innerhalb von zwei Monaten ab Feststellung nach Absatz 4 Entgelte an, die den Anforderungen des § 37 genügen. Im Falle eines Missbrauchs im Sinne des § 37 Absatz 2 Nummer 5 ordnet sie zudem an, in welcher Weise das Unternehmen eine Entbündelung vorzunehmen hat.</w:t>
      </w:r>
    </w:p>
    <w:p>
      <w:r>
        <w:t xml:space="preserve">(6) Erfolgt eine Anordnung nach Absatz 5, gilt § 44 entsprechend.</w:t>
      </w:r>
    </w:p>
    <w:p>
      <w:r>
        <w:rPr>
          <w:color w:val="555555"/>
          <w:sz w:val="17"/>
        </w:rPr>
        <w:t xml:space="preserve">Zitiervorschlag: § 46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