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TKG 2021 — Verfahren der Entgeltanzeige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Hat die Bundesnetzagentur das Unternehmen mit beträchtlicher Marktmacht nach § 38 verpflichtet, Entgelte zur Anzeige zu bringen, sind ihr diese zwei Monate vor dem geplanten Inkrafttreten anzuzeigen.</w:t>
      </w:r>
    </w:p>
    <w:p>
      <w:r>
        <w:t xml:space="preserve">(2) Die Bundesnetzagentur untersagt innerhalb von zwei Wochen ab Zugang der Anzeige die Einführung der nach Absatz 1 angezeigten Entgelte bis zum Abschluss ihrer Prüfung, sofern die geplante Entgeltmaßnahme offenkundig nicht mit § 37 vereinbar wäre; im Falle des § 38 Absatz 3 Satz 2 findet § 37 entsprechend Anwendung. Für die weitere Prüfung geht die Bundesnetzagentur nach § 46 vor.</w:t>
      </w:r>
    </w:p>
    <w:p>
      <w:r>
        <w:rPr>
          <w:color w:val="555555"/>
          <w:sz w:val="17"/>
        </w:rPr>
        <w:t xml:space="preserve">Zitiervorschlag: § 45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