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 TKG 2021 — Maßstäbe der Entgeltgenehmigung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(1) Die Bundesnetzagentur genehmigt nach § 38 Absatz 1 Satz 1 oder Absatz 3 Satz 2 vorgelegte Entgelte</w:t>
      </w:r>
    </w:p>
    <w:p>
      <w:pPr>
        <w:ind w:left="420"/>
      </w:pPr>
      <w:r>
        <w:t xml:space="preserve">1. anhand der Maßstäbe des § 37,</w:t>
      </w:r>
    </w:p>
    <w:p>
      <w:pPr>
        <w:ind w:left="420"/>
      </w:pPr>
      <w:r>
        <w:t xml:space="preserve">2. auf der Grundlage der auf die einzelnen Dienste entfallenden Kosten der effizienten Leistungsbereitstellung nach § 42 oder</w:t>
      </w:r>
    </w:p>
    <w:p>
      <w:pPr>
        <w:ind w:left="420"/>
      </w:pPr>
      <w:r>
        <w:t xml:space="preserve">3. auf der Grundlage einer anderen Vorgehensweise; ein solches Vorgehen ist besonders zu begründen.</w:t>
      </w:r>
    </w:p>
    <w:p>
      <w:r>
        <w:t xml:space="preserve">Ungeachtet des geltenden Maßstabs der Entgeltgenehmigung dürfen genehmigte Entgelte nicht nach Maßgabe des § 37 missbräuchlich sein; für genehmigte Entgelte nach § 38 Absatz 3 Satz 2 gilt § 37 entsprechend.</w:t>
      </w:r>
    </w:p>
    <w:p>
      <w:r>
        <w:t xml:space="preserve">(2) Die Bundesnetzagentur bestimmt, welcher Maßstab der Entgeltgenehmigung nach Absatz 1 am besten geeignet ist, die Ziele nach § 2 zu erreichen. Im Fall von Absatz 1 Satz 1 Nummer 3 gilt bei der Anwendung kostenorientierter Vorgehensweisen § 42 Absatz 2 und 3 entsprechend. Die Bundesnetzagentur kann den Maßstab der Entgeltgenehmigung im Rahmen der Regulierungsverfügung nach § 13 bestimmen.</w:t>
      </w:r>
    </w:p>
    <w:p>
      <w:r>
        <w:rPr>
          <w:color w:val="555555"/>
          <w:sz w:val="17"/>
        </w:rPr>
        <w:t xml:space="preserve">Zitiervorschlag: § 39 TKG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https://recht.nulegal.eu/gesetze/TKG%202021/39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