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TKG 2021 — Entgeltregulierung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Unternehmen mit beträchtlicher Marktmacht verpflichten, Entgelte für Zugangsleistungen zur Genehmigung im Verfahren nach § 40 vorzulegen oder im Verfahren nach § 45 zur Anzeige zu bringen, wenn anderenfalls die Entwicklung eines nachhaltig wettbewerbsorientierten Endnutzermarktes durch missbräuchliche entgeltbezogene Maßnahmen des Unternehmens behindert würde und die Interessen der Endnutzer beeinträchtigt würden. Die nachträgliche Missbrauchsprüfung der Entgelte nach § 46 bleibt unberührt.</w:t>
      </w:r>
    </w:p>
    <w:p>
      <w:r>
        <w:t xml:space="preserve">(2) Die Bundesnetzagentur prüft bei Netzen mit sehr hoher Kapazität insbesondere, ob sie von einer Verpflichtung des Unternehmens nach Absatz 1, die Entgelte zur Genehmigung im Verfahren nach § 40 vorzulegen oder im Verfahren nach § 45 zur Anzeige zu bringen, absieht, sofern für solche Netze</w:t>
      </w:r>
    </w:p>
    <w:p>
      <w:pPr>
        <w:ind w:left="420"/>
      </w:pPr>
      <w:r>
        <w:t xml:space="preserve">1. ein nachweisbarer Preisdruck auf die Endkundenpreise vorliegt und</w:t>
      </w:r>
    </w:p>
    <w:p>
      <w:pPr>
        <w:ind w:left="420"/>
      </w:pPr>
      <w:r>
        <w:t xml:space="preserve">2. ein effektiver und nichtdiskriminierender Zugang gesichert ist, der eine technische und wirtschaftliche Nachbildbarkeit der Endkundenprodukte des marktmächtigen Unternehmens durch effiziente Zugangsnachfrager gewährleistet.</w:t>
      </w:r>
    </w:p>
    <w:p>
      <w:r>
        <w:t xml:space="preserve">Die Bundesnetzagentur kann die Entgelte auf deren wirtschaftliche Nachbildbarkeit im Verfahren nach § 46 prüfen oder, wenn dies sachlich gerechtfertigt ist, nach § 40 oder § 45 vorgehen. Ein Vorgehen nach Satz 2 ist auch dann möglich, wenn aufgrund einer niedrigen Bevölkerungsdichte in einer konkreten Region die Anreize für den Ausbau von Netzen mit sehr hoher Kapazität gering sind und ein Zugang nach Satz 1 Nummer 2 gesichert ist.</w:t>
      </w:r>
    </w:p>
    <w:p>
      <w:r>
        <w:t xml:space="preserve">(3) Entgelte, die ein Unternehmen im Rahmen von Verpflichtungen nach § 21 oder § 22 verlangt, unterliegen einer nachträglichen Missbrauchsprüfung nach § 46. Abweichend von Satz 1 kann die Bundesnetzagentur das Unternehmen verpflichten, die Entgelte zur Genehmigung im Verfahren nach § 40 vorzulegen oder im Verfahren nach § 45 zur Anzeige zu bringen, wenn dies erforderlich ist, um die Ziele nach § 2 zu erreichen.</w:t>
      </w:r>
    </w:p>
    <w:p>
      <w:r>
        <w:t xml:space="preserve">(4) Die Bundesnetzagentur kann einem Unternehmen mit beträchtlicher Marktmacht Verpflichtungen in Bezug auf Kostenrechnungsmethoden, einschließlich der Anwendung einer bestimmten Form der Kostenrechnung, auferlegen. In diesem Fall kann sie das Unternehmen mit beträchtlicher Marktmacht verpflichten, eine Beschreibung der den Auflagen entsprechenden Kostenrechnungsmethode zu veröffentlichen, in der die wichtigsten Kostenarten und die Regeln der Kostenzuweisung aufgeführt werden. Die Bundesnetzagentur oder eine von ihr beauftragte unabhängige Stelle prüft die Anwendung der nach diesem Absatz auferlegten Verpflichtungen und veröffentlicht das Prüfergebnis einmal jährlich. Das Unternehmen übermittelt die hierfür erforderlichen Daten an die Bundesnetzagentur regelmäßig elektronisch.</w:t>
      </w:r>
    </w:p>
    <w:p>
      <w:r>
        <w:t xml:space="preserve">(5) Die Bundesnetzagentur berücksichtigt</w:t>
      </w:r>
    </w:p>
    <w:p>
      <w:pPr>
        <w:ind w:left="420"/>
      </w:pPr>
      <w:r>
        <w:t xml:space="preserve">1. bei der Prüfung, ob und welche Entgeltmaßnahmen gerechtfertigt sind und ob diese in einem angemessenen Verhältnis zu den Zielen nach § 2 stehen, insbesondere die Notwendigkeit der Förderung eines nachhaltig wettbewerbsorientierten Marktes und die langfristigen Endnutzerinteressen am Ausbau von neuen und verbesserten Telekommunikationsnetzen, insbesondere von Netzen mit sehr hoher Kapazität;</w:t>
      </w:r>
    </w:p>
    <w:p>
      <w:pPr>
        <w:ind w:left="420"/>
      </w:pPr>
      <w:r>
        <w:t xml:space="preserve">2. im Falle der Regulierung von Entgelten insbesondere, dass die Maßnahmen in ihrer Gesamtheit, einschließlich in zeitlicher und inhaltlicher Hinsicht, aufeinander abgestimmt sind (Konsistenzgebot) sowie die Anreize für den Ausbau neuer und verbesserter Telekommunikationsnetze, die wirtschaftliche Effizienz und einen nachhaltigen Wettbewerb fördern und dem langfristigen Endnutzerinteresse dienen; sie berücksichtigt hierfür die zugrunde liegenden Investitionen und ermöglicht eine angemessene Verzinsung des eingesetzten Kapitals, wobei sie etwaigen spezifischen Investitionsrisiken unter weitestgehender Beachtung vereinbarter kommerzieller Zugangsvereinbarungen Rechnung trägt;</w:t>
      </w:r>
    </w:p>
    <w:p>
      <w:pPr>
        <w:ind w:left="420"/>
      </w:pPr>
      <w:r>
        <w:t xml:space="preserve">3. im Falle der Regulierung von Entgelten betreffend den Zugang zu baulichen Anlagen nach § 26 Absatz 3 Nummer 10 insbesondere auch die Folgen einer Zugangsgewährung für den Geschäftsplan des Unternehmens mit beträchtlicher Marktmacht.</w:t>
      </w:r>
    </w:p>
    <w:p>
      <w:r>
        <w:t xml:space="preserve">(6) Betrifft eine Entgeltregulierung von Zugangsleistungen nach Absatz 1 Terminierungsleistungen von Unternehmen mit beträchtlicher Marktmacht, trägt die Bundesnetzagentur den Prinzipien, Kriterien und Parametern des Anhangs III der Richtlinie (EU) 2018/1972 weitestgehend Rechnung, sofern nicht durch delegierten Rechtsakt der Kommission nach Artikel 75 Absatz 1 der Richtlinie (EU) 2018/1972 unionsweite Entgelte für Terminierungsleistungen festgelegt sind. Legt die Kommission unionsweite Entgelte für Terminierungsleistungen fest, stellt die Bundesnetzagentur deren Einhaltung sicher. § 44 Absatz 1 und 2 gilt entsprechend.</w:t>
      </w:r>
    </w:p>
    <w:p>
      <w:r>
        <w:rPr>
          <w:color w:val="555555"/>
          <w:sz w:val="17"/>
        </w:rPr>
        <w:t xml:space="preserve">Zitiervorschlag: § 38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