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TKG 2021 — Ausschließlich auf der Vorleistungsebene tätige Unternehmen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Die Bundesnetzagentur kann einem Unternehmen mit beträchtlicher Marktmacht, das auf keinem Endkundenmarkt für öffentlich zugängliche Telekommunikationsdienste tätig ist, abweichend von § 13 Absatz 1 Verpflichtungen nach § 24, § 26 Absatz 3 Nummer 1 bis 9 oder nach Abschnitt 3 auferlegen, sofern folgende Voraussetzungen vorliegen:</w:t>
      </w:r>
    </w:p>
    <w:p>
      <w:pPr>
        <w:ind w:left="420"/>
      </w:pPr>
      <w:r>
        <w:t xml:space="preserve">1. laufende und geplante Tätigkeiten in allen Geschäftsbereichen des Unternehmens und aller Anteilseigner, die eine Kontrolle über das Unternehmen ausüben können, erfolgen ausschließlich in Vorleistungsmärkten für öffentlich zugängliche Telekommunikationsdienste;</w:t>
      </w:r>
    </w:p>
    <w:p>
      <w:pPr>
        <w:ind w:left="420"/>
      </w:pPr>
      <w:r>
        <w:t xml:space="preserve">2. es bestehen keine Exklusivvereinbarungen oder faktisch auf Exklusivvereinbarungen hinauslaufende Vereinbarungen des Unternehmens mit einem anderen Unternehmen, das in Endkundenmärkten für öffentlich zugängliche Telekommunikationsdienste tätig ist.</w:t>
      </w:r>
    </w:p>
    <w:p>
      <w:r>
        <w:t xml:space="preserve">(2) Die Bundesnetzagentur geht nach § 15 Absatz 1 vor, wenn ihr Tatsachen bekannt oder bekannt gemacht werden, aus denen sich ergibt, dass</w:t>
      </w:r>
    </w:p>
    <w:p>
      <w:pPr>
        <w:ind w:left="420"/>
      </w:pPr>
      <w:r>
        <w:t xml:space="preserve">1. die Voraussetzungen des Absatzes 1 nicht mehr erfüllt sind oder</w:t>
      </w:r>
    </w:p>
    <w:p>
      <w:pPr>
        <w:ind w:left="420"/>
      </w:pPr>
      <w:r>
        <w:t xml:space="preserve">2. die Bedingungen, die das Unternehmen gegenüber auf nachgelagerten Märkten tätigen Unternehmen anbietet, zu Wettbewerbsproblemen zum Nachteil der Endnutzer führen oder absehbar führen werden.</w:t>
      </w:r>
    </w:p>
    <w:p>
      <w:r>
        <w:t xml:space="preserve">Das Unternehmen unterrichtet die Bundesnetzagentur umgehend über Tatsachen im Sinne von Satz 1.</w:t>
      </w:r>
    </w:p>
    <w:p>
      <w:r>
        <w:rPr>
          <w:color w:val="555555"/>
          <w:sz w:val="17"/>
        </w:rPr>
        <w:t xml:space="preserve">Zitiervorschlag: § 33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