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TKG 2021 — Getrennte Rechnungslegung</w:t>
      </w:r>
    </w:p>
    <w:p>
      <w:r>
        <w:rPr>
          <w:color w:val="555555"/>
          <w:sz w:val="18"/>
        </w:rPr>
        <w:t xml:space="preserve">Telekommunikationsgesetz</w:t>
      </w:r>
    </w:p>
    <w:p>
      <w:r>
        <w:rPr>
          <w:color w:val="555555"/>
          <w:sz w:val="18"/>
        </w:rPr>
        <w:t xml:space="preserve">Stand: 01.12.2021 (konsolidierte Textfassung, kein amtliches Inkrafttretensdatum)</w:t>
      </w:r>
    </w:p>
    <w:p>
      <w:r>
        <w:t xml:space="preserve">(1) Die Bundesnetzagentur kann einem Unternehmen mit beträchtlicher Marktmacht für bestimmte Tätigkeiten im Zusammenhang mit Zugangsleistungen eine getrennte Rechnungslegung vorschreiben. Die Bundesnetzagentur kann insbesondere von einem vertikal integrierten Unternehmen mit beträchtlicher Marktmacht verlangen, seine Vorleistungspreise und seine internen Verrechnungspreise transparent zu gestalten. Die Bundesnetzagentur kann dabei konkrete Vorgaben zu dem zu verwendenden Format sowie zu der zu verwendenden Rechnungsführungsmethode machen.</w:t>
      </w:r>
    </w:p>
    <w:p>
      <w:r>
        <w:t xml:space="preserve">(2) Die Bundesnetzagentur kann verlangen, dass ihr die Kostenrechnungs- und Buchungsunterlagen nach Absatz 1 einschließlich sämtlicher damit zusammenhängender Informationen und Dokumente auf Anforderung in vorgeschriebener Form vorgelegt werden. Die Bundesnetzagentur kann diese Informationen in geeigneter Form veröffentlichen, soweit dies zur Erreichung der in § 2 genannten Ziele beiträgt. Dabei sind die Bestimmungen zur Wahrung von Geschäfts- oder Betriebsgeheimnissen zu beachten.</w:t>
      </w:r>
    </w:p>
    <w:p>
      <w:r>
        <w:rPr>
          <w:color w:val="555555"/>
          <w:sz w:val="17"/>
        </w:rPr>
        <w:t xml:space="preserve">Zitiervorschlag: § 30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