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TKG 2021 — Zugangsvereinbarungen bei Kontrolle über Zugang zu Endnutzern oder bei Hindernissen der Replizierbarkeit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Ein Unternehmen, dem eine Verpflichtung nach § 21 oder 22 auferlegt worden ist, hat anderen Unternehmen, die diese Zugangsleistung nachfragen, um Telekommunikationsdienste anbieten zu können, unverzüglich, spätestens aber drei Monate nach Auferlegung der Zugangsverpflichtung, einen entsprechenden Zugang anzubieten.</w:t>
      </w:r>
    </w:p>
    <w:p>
      <w:r>
        <w:t xml:space="preserve">(2) Zugangsvereinbarungen nach Absatz 1 sind der Bundesnetzagentur vorzulegen.</w:t>
      </w:r>
    </w:p>
    <w:p>
      <w:r>
        <w:rPr>
          <w:color w:val="555555"/>
          <w:sz w:val="17"/>
        </w:rPr>
        <w:t xml:space="preserve">Zitiervorschlag: § 23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