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214 TKG 2021 — Verfahren der nationalen Streitbeilegung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(1) Die nationale Streitbeilegungsstelle leitet ein Verfahren auf Antrag ein.</w:t>
      </w:r>
    </w:p>
    <w:p>
      <w:r>
        <w:t xml:space="preserve">(2) An Verfahren vor der nationalen Streitbeilegungsstelle sind beteiligt:</w:t>
      </w:r>
    </w:p>
    <w:p>
      <w:pPr>
        <w:ind w:left="420"/>
      </w:pPr>
      <w:r>
        <w:t xml:space="preserve">1. bei einem Verfahren nach § 128 Absatz 4, § 134 Absatz 5, § 149 Absatz 1 Nummer 1, 2, 3 und 5 der Antragsteller und die Eigentümer oder Betreiber öffentlicher Versorgungsnetze oder sonstiger physischer Infrastruktur, gegen die sich das Verfahren richtet,</w:t>
      </w:r>
    </w:p>
    <w:p>
      <w:pPr>
        <w:ind w:left="420"/>
      </w:pPr>
      <w:r>
        <w:t xml:space="preserve">2. bei einem Verfahren nach § 149 Absatz 1 Nummer 4 der Antragsteller und die Verfügungsberechtigten über Netzinfrastrukturen in Gebäuden oder bis zum ersten Konzentrations- oder Verteilerpunkt eines öffentlichen Telekommunikationsnetzes, gegen die sich das Verfahren richtet,</w:t>
      </w:r>
    </w:p>
    <w:p>
      <w:pPr>
        <w:ind w:left="420"/>
      </w:pPr>
      <w:r>
        <w:t xml:space="preserve">3. bei einem Verfahren nach § 149 Absatz 1 Nummer 6 der Antragsteller und die Betreiber einer nach § 72 Absatz 1 Nummer 1 und 2 errichteten Netzinfrastruktur, gegen die sich das Verfahren richtet,</w:t>
      </w:r>
    </w:p>
    <w:p>
      <w:pPr>
        <w:ind w:left="420"/>
      </w:pPr>
      <w:r>
        <w:t xml:space="preserve">4. die Personen und Personenvereinigungen, deren Interessen durch die Entscheidung berührt werden und die die Bundesnetzagentur auf ihren Antrag zu dem Verfahren beigeladen hat,</w:t>
      </w:r>
    </w:p>
    <w:p>
      <w:pPr>
        <w:ind w:left="420"/>
      </w:pPr>
      <w:r>
        <w:t xml:space="preserve">5. bei einer Inanspruchnahme von Eisenbahninfrastrukturunternehmen die zuständige Eisenbahnaufsichtsbehörde.</w:t>
      </w:r>
    </w:p>
    <w:p>
      <w:r>
        <w:t xml:space="preserve">(3) Sind bei Streitigkeiten über das Vorliegen eines Ablehnungsgrundes nach § 136 Absatz 4 Nummer 3, § 137 Absatz 3 Nummer 3, § 141 Absatz 2 Nummer 4, § 142 Absatz 4 Nummer 4, § 143 Absatz 4 Nummer 1, § 153 Absatz 4 Nummer 3 oder § 154 Absatz 4 Satz 2 Nummer 4 kritische Anlagen im Sinne des § 2 Nummer 4 des KRITIS-Dachgesetzes betroffen, so entscheidet die Bundesnetzagentur im Benehmen mit dem Bundesamt für Sicherheit in der Informationstechnik.</w:t>
      </w:r>
    </w:p>
    <w:p>
      <w:r>
        <w:rPr>
          <w:color w:val="555555"/>
          <w:sz w:val="17"/>
        </w:rPr>
        <w:t xml:space="preserve">Zitiervorschlag: § 214 TKG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https://recht.nulegal.eu/gesetze/TKG%202021/214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