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TKG 2021 — Zugangsverpflichtung und Zusammenschaltung bei Kontrolle über Zugang zu Endnutzern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kann Unternehmen, die den Zugang zu Endnutzern kontrollieren,</w:t>
      </w:r>
    </w:p>
    <w:p>
      <w:pPr>
        <w:ind w:left="420"/>
      </w:pPr>
      <w:r>
        <w:t xml:space="preserve">1. verpflichten, ihre Telekommunikationsnetze mit denen anderer Unternehmen zusammenzuschalten, soweit dies erforderlich ist, um die durchgehende Konnektivität und die Bereitstellung von Diensten sowie deren Interoperabilität zu gewährleisten;</w:t>
      </w:r>
    </w:p>
    <w:p>
      <w:pPr>
        <w:ind w:left="420"/>
      </w:pPr>
      <w:r>
        <w:t xml:space="preserve">2. weitere Verpflichtungen auferlegen, soweit dies zur Gewährleistung der durchgehenden Konnektivität oder zur Gewährleistung der Interoperabilität erforderlich ist.</w:t>
      </w:r>
    </w:p>
    <w:p>
      <w:r>
        <w:t xml:space="preserve">(2) Die Bundesnetzagentur kann Anbieter nummernunabhängiger interpersoneller Telekommunikationsdienste verpflichten, ihre Dienste interoperabel zu machen, wenn die folgenden Voraussetzungen erfüllt sind:</w:t>
      </w:r>
    </w:p>
    <w:p>
      <w:pPr>
        <w:ind w:left="420"/>
      </w:pPr>
      <w:r>
        <w:t xml:space="preserve">1. die nummernunabhängigen interpersonellen Telekommunikationsdienste weisen eine nennenswerte Abdeckung und Nutzerbasis auf;</w:t>
      </w:r>
    </w:p>
    <w:p>
      <w:pPr>
        <w:ind w:left="420"/>
      </w:pPr>
      <w:r>
        <w:t xml:space="preserve">2. die durchgehende Konnektivität zwischen Endnutzern ist wegen mangelnder Interoperabilität zwischen interpersonellen Telekommunikationsdiensten bedroht;</w:t>
      </w:r>
    </w:p>
    <w:p>
      <w:pPr>
        <w:ind w:left="420"/>
      </w:pPr>
      <w:r>
        <w:t xml:space="preserve">3. die Verpflichtungen sind zur Gewährleistung der durchgehenden Konnektivität zwischen Endnutzern erforderlich und</w:t>
      </w:r>
    </w:p>
    <w:p>
      <w:pPr>
        <w:ind w:left="420"/>
      </w:pPr>
      <w:r>
        <w:t xml:space="preserve">4. die Kommission hat Durchführungsmaßnahmen nach Artikel 61 Absatz 2 Unterabsatz 2 Buchstabe ii der Richtlinie (EU) 2018/1972 erlassen.</w:t>
      </w:r>
    </w:p>
    <w:p>
      <w:r>
        <w:t xml:space="preserve">(3) Die Bundesnetzagentur kann Betreiber verpflichten, zu fairen, ausgewogenen und nichtdiskriminierenden Bedingungen Zugang zu Anwendungs-Programmierschnittstellen und elektronischen Programmführern zu gewähren, soweit dies zur Gewährleistung des Zugangs der Endnutzer zu digitalen Hörfunk- und Fernsehdiensten sowie damit verbundenen ergänzenden Diensten erforderlich ist.</w:t>
      </w:r>
    </w:p>
    <w:p>
      <w:r>
        <w:t xml:space="preserve">(4) Die Maßnahmen der Bundesnetzagentur nach den Absätzen 1 bis 3 müssen fair, objektiv, transparent, verhältnismäßig und nichtdiskriminierend sein.</w:t>
      </w:r>
    </w:p>
    <w:p>
      <w:r>
        <w:t xml:space="preserve">(5) Für die nach den Absätzen 1 bis 3 auferlegten Maßnahmen gelten die Verfahren des § 14 entsprechend. Die Bundesnetzagentur überprüft die erlassenen Maßnahmen innerhalb von fünf Jahren ab dem Zeitpunkt ihrer Auferlegung auf deren Wirksamkeit und darauf, ob deren Änderung oder Aufhebung angemessen wäre.</w:t>
      </w:r>
    </w:p>
    <w:p>
      <w:r>
        <w:rPr>
          <w:color w:val="555555"/>
          <w:sz w:val="17"/>
        </w:rPr>
        <w:t xml:space="preserve">Zitiervorschlag: § 21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