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204 TKG 2021 — Auskunftserteilung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Inhaber der Unternehmen oder die diese vertretenden Personen sind verpflichtet,</w:t>
      </w:r>
    </w:p>
    <w:p>
      <w:pPr>
        <w:ind w:left="420"/>
      </w:pPr>
      <w:r>
        <w:t xml:space="preserve">1. die verlangten Auskünfte nach § 203 Absatz 1 bis 4 zu erteilen,</w:t>
      </w:r>
    </w:p>
    <w:p>
      <w:pPr>
        <w:ind w:left="420"/>
      </w:pPr>
      <w:r>
        <w:t xml:space="preserve">2. die geschäftlichen Unterlagen vorzulegen und</w:t>
      </w:r>
    </w:p>
    <w:p>
      <w:pPr>
        <w:ind w:left="420"/>
      </w:pPr>
      <w:r>
        <w:t xml:space="preserve">3. die Prüfung dieser geschäftlichen Unterlagen sowie das Betreten von Geschäftsräumen und -grundstücken während der üblichen Betriebs- oder Geschäftszeiten zu dulden.</w:t>
      </w:r>
    </w:p>
    <w:p>
      <w:r>
        <w:t xml:space="preserve">Bei juristischen Personen, Gesellschaften oder nicht rechtsfähigen Vereinen gelten die Verpflichtungen nach Satz 1 für die nach Gesetz oder Satzung zur Vertretung berufenen Personen.</w:t>
      </w:r>
    </w:p>
    <w:p>
      <w:r>
        <w:t xml:space="preserve">(2) Personen, die von der Bundesnetzagentur mit der Vornahme von Prüfungen beauftragt werden, dürfen die Büro- und Geschäftsräume der Unternehmen und Vereinigungen von Unternehmen während der üblichen Betriebs- oder Geschäftszeiten betreten.</w:t>
      </w:r>
    </w:p>
    <w:p>
      <w:r>
        <w:t xml:space="preserve">(3) Durchsuchungen können nur auf Anordnung des Amtsgerichts, in dessen Bezirk die Durchsuchung erfolgen soll, vorgenommen werden. Auf die Anfechtung dieser Anordnung finden die §§ 306 bis 310 und 311a der Strafprozessordnung entsprechende Anwendung. Bei Gefahr im Verzug können die in Absatz 2 bezeichneten Personen während der Geschäftszeit die erforderlichen Durchsuchungen ohne richterliche Anordnung vornehmen. An Ort und Stelle ist ein Protokoll über die Durchsuchung und ihr wesentliches Ergebnis zu erstellen, aus dem sich, falls keine richterliche Anordnung ergangen ist, auch die Tatsachen ergeben, die zur Annahme einer Gefahr im Verzug geführt haben.</w:t>
      </w:r>
    </w:p>
    <w:p>
      <w:r>
        <w:t xml:space="preserve">(4) Gegenstände oder geschäftliche Unterlagen können im erforderlichen Umfang in Verwahrung genommen werden oder, wenn sie nicht freiwillig herausgegeben werden, beschlagnahmt werden. Auf die Beschlagnahme findet Absatz 3 entsprechende Anwendung.</w:t>
      </w:r>
    </w:p>
    <w:p>
      <w:r>
        <w:t xml:space="preserve">(5) Zur Auskunft nach Absatz 1 Verpflichtete können die Auskunft auf solche Fragen verweigern, deren Beantwortung sie selbst oder in § 383 Absatz 1 Nummer 1 bis 3 der Zivilprozessordnung bezeichnete Angehörige der Gefahr strafgerichtlicher Verfolgung oder eines Verfahrens nach dem Gesetz über Ordnungswidrigkeiten aussetzen würde. Die durch Auskünfte oder Maßnahmen nach § 203 Absatz 1 bis 4 erlangten Kenntnisse und Unterlagen dürfen für ein Besteuerungsverfahren oder ein Bußgeldverfahren wegen einer Steuerordnungswidrigkeit oder einer Devisenzuwiderhandlung sowie für ein Verfahren wegen einer Steuerstraftat oder einer Devisenstraftat nicht verwendet werden; die §§ 93, 97, 105 Absatz 1, § 111 Absatz 5 in Verbindung mit § 105 Absatz 1 sowie § 116 Absatz 1 der Abgabenordnung sind insoweit nicht anzuwenden. Satz 2 gilt nicht für Verfahren wegen einer Steuerstraftat sowie eines damit zusammenhängenden Besteuerungsverfahrens, wenn an deren Durchführung ein zwingendes öffentliches Interesse besteht, oder bei vorsätzlich falschen Angaben der Auskunftspflichtigen oder der für sie tätigen Personen.</w:t>
      </w:r>
    </w:p>
    <w:p>
      <w:r>
        <w:t xml:space="preserve">(6) Soweit Prüfungen einen Verstoß gegen Auflagen, Anordnungen oder Verfügungen der Bundesnetzagentur ergeben haben, hat das Unternehmen der Bundesnetzagentur die Aufwendungen für diese Prüfungen einschließlich ihrer Auslagen für Sachverständige zu erstatten.</w:t>
      </w:r>
    </w:p>
    <w:p>
      <w:r>
        <w:t xml:space="preserve">(7) Zur Durchsetzung der Maßnahmen nach § 203 kann nach Maßgabe des Verwaltungsvollstreckungsgesetzes ein Zwangsgeld von mindestens 1 000 Euro bis höchstens 10 Millionen Euro festgesetzt werden.</w:t>
      </w:r>
    </w:p>
    <w:p>
      <w:r>
        <w:rPr>
          <w:color w:val="555555"/>
          <w:sz w:val="17"/>
        </w:rPr>
        <w:t xml:space="preserve">Zitiervorschlag: § 204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