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 TKG 2021 — Kontrolle und Durchsetzung von Verpflichtungen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kann Anordnungen und andere Maßnahmen treffen, um die Einhaltung der Vorschriften dieses Abschnitts sicherzustellen. Der Verpflichtete hat auf Anforderung der Bundesnetzagentur die hierzu erforderlichen Auskünfte zu erteilen. § 55 der Strafprozessordnung gilt entsprechend. Die Bundesnetzagentur ist zur Überprüfung der Einhaltung der Verpflichtungen befugt, die Geschäfts- und Betriebsräume während der üblichen Betriebs- oder Geschäftszeiten zu betreten und zu besichtigen. Der Verpflichtete hat die Überprüfung zu dulden. Die Befugnisse der Bundesnetzagentur nach Teil 11 Abschnitt 2 bleiben unberührt.</w:t>
      </w:r>
    </w:p>
    <w:p>
      <w:r>
        <w:t xml:space="preserve">(2) Zur Durchsetzung von Maßnahmen nach Absatz 1 kann nach Maßgabe des Verwaltungsvollstreckungsgesetzes ein Zwangsgeld bis zu einer Million Euro festgesetzt werden.</w:t>
      </w:r>
    </w:p>
    <w:p>
      <w:r>
        <w:rPr>
          <w:color w:val="555555"/>
          <w:sz w:val="17"/>
        </w:rPr>
        <w:t xml:space="preserve">Zitiervorschlag: § 190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