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187 TKG 2021 — Umsetzung der Telekommunikationsbevorrechtigung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(1) Telekommunikationsbevorrechtigte haben ihrem Anbieter rechtzeitig im Voraus mitzuteilen,</w:t>
      </w:r>
    </w:p>
    <w:p>
      <w:pPr>
        <w:ind w:left="420"/>
      </w:pPr>
      <w:r>
        <w:t xml:space="preserve">1. welche Anschlüsse und Übertragungswege vorrangig entstört werden sollen,</w:t>
      </w:r>
    </w:p>
    <w:p>
      <w:pPr>
        <w:ind w:left="420"/>
      </w:pPr>
      <w:r>
        <w:t xml:space="preserve">2. für welche Mobilfunkanschlüsse vorrangige Verbindungen in Anspruch genommen werden sollen.</w:t>
      </w:r>
    </w:p>
    <w:p>
      <w:r>
        <w:t xml:space="preserve">Dabei haben Telekommunikationsbevorrechtigte nach § 186 Absatz 3 Satz 1 Nummer 9 die ihnen ausgestellte Bescheinigung vorzulegen.</w:t>
      </w:r>
    </w:p>
    <w:p>
      <w:r>
        <w:t xml:space="preserve">(2) Für die Umsetzung der Telekommunikationsbevorrechtigung hat der nach § 186 Absatz 1 und 2 Verpflichtete unverzüglich nach Eingang der Mitteilung nach Absatz 1 Satz 1 Vorkehrungen zu treffen. Er hat diese Vorkehrungen nach Kündigung des Anschlusses oder nach Ablauf der in § 186 Absatz 3 Satz 2 genannten Frist wieder aufzuheben, sofern nicht vor Ablauf dieser Frist eine neue Bescheinigung nach § 186 Absatz 3 Satz 1 Nummer 9 vorgelegt wird. Die nach § 186 Absatz 1 und 2 Verpflichteten haben den betroffenen Nutzer über den Abschluss und die Aufhebung der getroffenen Vorkehrungen unverzüglich zu informieren.</w:t>
      </w:r>
    </w:p>
    <w:p>
      <w:r>
        <w:t xml:space="preserve">(3) Für die Erfüllung der Verpflichtung nach § 186 Absatz 2 Satz 1 kann die Dauer oder die Datenübertragungsrate nicht vorrangiger Verbindungen im erforderlichen Umfang begrenzt werden. Satz 1 gilt nicht für Verbindungen zu den Notrufnummern 110 und 112; § 4 der Verordnung über Notrufverbindungen vom 6. März 2009 (BGBl. I S. 481), die zuletzt durch Artikel 1 des Gesetzes vom 26. November 2012 (BGBl. I S. 2347) geändert worden ist, in der jeweils geltenden Fassung bleibt unberührt.</w:t>
      </w:r>
    </w:p>
    <w:p>
      <w:r>
        <w:rPr>
          <w:color w:val="555555"/>
          <w:sz w:val="17"/>
        </w:rPr>
        <w:t xml:space="preserve">Zitiervorschlag: § 187 TKG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https://recht.nulegal.eu/gesetze/TKG%202021/187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