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TKG 2021 — Anwendungsbereich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Vorschriften dieses Abschnitts sind anzuwenden zur Sicherung einer Mindestversorgung mit Telekommunikationsdiensten</w:t>
      </w:r>
    </w:p>
    <w:p>
      <w:pPr>
        <w:ind w:left="420"/>
      </w:pPr>
      <w:r>
        <w:t xml:space="preserve">1. bei unmittelbar bevorstehenden oder bereits eingetretenen erheblichen Störungen der Versorgung mit Telekommunikationsdiensten, insbesondere infolge von Naturkatastrophen, besonders schweren Unglücksfällen, Sabotagehandlungen, terroristischen Anschlägen, sonstigen vergleichbaren Ereignissen oder im Spannungs- oder Verteidigungsfall sowie</w:t>
      </w:r>
    </w:p>
    <w:p>
      <w:pPr>
        <w:ind w:left="420"/>
      </w:pPr>
      <w:r>
        <w:t xml:space="preserve">2. zur Erfüllung</w:t>
      </w:r>
    </w:p>
    <w:p>
      <w:pPr>
        <w:ind w:left="780"/>
      </w:pPr>
      <w:r>
        <w:t xml:space="preserve">a) internationaler Vereinbarungen zur Notfallbewältigung,</w:t>
      </w:r>
    </w:p>
    <w:p>
      <w:pPr>
        <w:ind w:left="780"/>
      </w:pPr>
      <w:r>
        <w:t xml:space="preserve">b) der Zusammenarbeit mit den Vereinten Nationen oder</w:t>
      </w:r>
    </w:p>
    <w:p>
      <w:pPr>
        <w:ind w:left="780"/>
      </w:pPr>
      <w:r>
        <w:t xml:space="preserve">c) von Bündnisverpflichtungen.</w:t>
      </w:r>
    </w:p>
    <w:p>
      <w:r>
        <w:rPr>
          <w:color w:val="555555"/>
          <w:sz w:val="17"/>
        </w:rPr>
        <w:t xml:space="preserve">Zitiervorschlag: § 184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