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TKG 2021 — Verpflichtungszusagen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Unternehmen mit beträchtlicher Marktmacht können der Bundesnetzagentur zu den für ihre Telekommunikationsnetze geltenden Zugangs- oder Ko-Investitionsbedingungen Verpflichtungszusagen vorlegen, damit die Bundesnetzagentur über eine Verbindlichkeitserklärung nach § 19 entscheiden kann; die Verpflichtungszusagen können sich insbesondere auf Folgendes beziehen:</w:t>
      </w:r>
    </w:p>
    <w:p>
      <w:pPr>
        <w:ind w:left="420"/>
      </w:pPr>
      <w:r>
        <w:t xml:space="preserve">1. kommerzielle Vereinbarungen, die in Bezug auf die Bewertung geeigneter und angemessener Verpflichtungen nach § 13 relevant sind;</w:t>
      </w:r>
    </w:p>
    <w:p>
      <w:pPr>
        <w:ind w:left="420"/>
      </w:pPr>
      <w:r>
        <w:t xml:space="preserve">2. Ko-Investitionsangebote betreffend die Errichtung von Netzen mit sehr hoher Kapazität, die bis zu den Gebäuden des Endnutzers oder der Basisstation aus Glasfaserkomponenten bestehen, oder</w:t>
      </w:r>
    </w:p>
    <w:p>
      <w:pPr>
        <w:ind w:left="420"/>
      </w:pPr>
      <w:r>
        <w:t xml:space="preserve">3. Zugang für Dritte nach § 32, sowohl während des Umsetzungszeitraums als auch nach vollständiger Umsetzung einer freiwilligen funktionellen Trennung durch ein vertikal integriertes Unternehmen.</w:t>
      </w:r>
    </w:p>
    <w:p>
      <w:r>
        <w:t xml:space="preserve">Das Unternehmen veröffentlicht die nach Satz 1 vorgelegten Verpflichtungszusagen zugleich auf seiner Internetseite.</w:t>
      </w:r>
    </w:p>
    <w:p>
      <w:r>
        <w:t xml:space="preserve">(2) Verpflichtungszusagen müssen fair, angemessen, nichtdiskriminierend und für alle Marktteilnehmer offen sein. Die Bundesnetzagentur prüft die vorgelegten Verpflichtungszusagen im Marktprüfungsverfahren nach § 19, es sei denn, die vorgelegten Verpflichtungszusagen erfüllen eine oder mehrere relevante Bedingungen offenkundig nicht. Die Bundesnetzagentur berücksichtigt in ihrer Prüfung insbesondere, ob die vorgelegten Verpflichtungszusagen Bedingungen umfassen, die eine Gleichwertigkeit des Zugangs nach § 24 Absatz 2 gewährleisten.</w:t>
      </w:r>
    </w:p>
    <w:p>
      <w:r>
        <w:t xml:space="preserve">(3) Verpflichtungszusagen für Ko-Investitionsangebote nach Absatz 1 Satz 1 Nummer 2 müssen folgende Anforderungen erfüllen:</w:t>
      </w:r>
    </w:p>
    <w:p>
      <w:pPr>
        <w:ind w:left="420"/>
      </w:pPr>
      <w:r>
        <w:t xml:space="preserve">1. das Ko-Investitionsangebot steht Betreibern öffentlicher Telekommunikationsnetze oder Anbietern öffentlich zugänglicher Telekommunikationsdienste zu jedem Zeitpunkt während der Lebensdauer des Telekommunikationsnetzes offen;</w:t>
      </w:r>
    </w:p>
    <w:p>
      <w:pPr>
        <w:ind w:left="420"/>
      </w:pPr>
      <w:r>
        <w:t xml:space="preserve">2. die Konditionen des Ko-Investitionsangebots ermöglichen es anderen Ko-Investoren, die Betreiber öffentlicher Telekommunikationsnetze oder Anbieter öffentlich zugänglicher Telekommunikationsdienste sind, auf den nachgelagerten Märkten, in denen das Unternehmen mit beträchtlicher Marktmacht tätig ist, langfristig wirksam und nachhaltig im Wettbewerb zu bestehen; dies umfasst</w:t>
      </w:r>
    </w:p>
    <w:p>
      <w:pPr>
        <w:ind w:left="780"/>
      </w:pPr>
      <w:r>
        <w:t xml:space="preserve">a) faire, angemessene und nichtdiskriminierende Bedingungen, die den Zugang zur Kapazität des Netzes in vollem, mindestens aber der Ko-Investition entsprechendem Umfang sichern;</w:t>
      </w:r>
    </w:p>
    <w:p>
      <w:pPr>
        <w:ind w:left="780"/>
      </w:pPr>
      <w:r>
        <w:t xml:space="preserve">b) Flexibilität hinsichtlich Umfang und Zeitpunkt der Beteiligung der einzelnen Ko-Investoren, einschließlich der Möglichkeit, den Umfang der Beteiligung zukünftig auszuweiten und die im Rahmen der Ko-Investitionen übernommenen Rechte und Pflichten auf Dritte zu übertragen;</w:t>
      </w:r>
    </w:p>
    <w:p>
      <w:pPr>
        <w:ind w:left="780"/>
      </w:pPr>
      <w:r>
        <w:t xml:space="preserve">c) die Gewährung gleicher wechselseitiger Rechte durch die Ko-Investoren nach Abschluss der Errichtung der von der Ko-Investition umfassten Infrastruktur, einschließlich der Gewährung gegenseitigen Zugangs;</w:t>
      </w:r>
    </w:p>
    <w:p>
      <w:pPr>
        <w:ind w:left="420"/>
      </w:pPr>
      <w:r>
        <w:t xml:space="preserve">3. das Ko-Investitionsangebot ist transparent und wird durch das marktmächtige Unternehmen rechtzeitig, spätestens aber sechs Monate vor Beginn der Errichtung des von der Ko-Investition umfassten Telekommunikationsnetzes öffentlich auf seinen Internetseiten verfügbar gemacht;</w:t>
      </w:r>
    </w:p>
    <w:p>
      <w:pPr>
        <w:ind w:left="420"/>
      </w:pPr>
      <w:r>
        <w:t xml:space="preserve">4. die Konditionen des Zugangs für nicht an der Ko-Investition beteiligte Unternehmen ermöglichen es Zugangsnachfragern auf den nachgelagerten Märkten, in denen das marktmächtige Unternehmen tätig ist, langfristig wirksam und nachhaltig im Wettbewerb zu bestehen; dies umfasst faire, angemessene und nichtdiskriminierende Bedingungen des Zugangs, die mindestens die Qualität, die Geschwindigkeit und die Endnutzerreichweite aufweisen wie vor Errichtung der von der Ko-Investition umfassten Infrastruktur sowie einen Anpassungsmechanismus, der solche Bedingungen mit Blick auf die Entwicklung der Endkundenmärkte auch langfristig absichert.</w:t>
      </w:r>
    </w:p>
    <w:p>
      <w:r>
        <w:t xml:space="preserve">Die Bundesnetzagentur trägt hierbei den Leitlinien, die das GEREK nach Artikel 76 Absatz 4 der Richtlinie (EU) 2018/1972 veröffentlicht, weitestgehend Rechnung.</w:t>
      </w:r>
    </w:p>
    <w:p>
      <w:r>
        <w:t xml:space="preserve">(4) Verpflichtungszusagen nach Absatz 1 Satz 1 Nummer 3 müssen einen effektiven und nichtdiskriminierenden Zugang für Dritte sowohl während des Umsetzungszeitraums als auch nach vollständiger Umsetzung einer freiwilligen funktionellen Trennung durch ein vertikal integriertes Unternehmen gewährleisten.</w:t>
      </w:r>
    </w:p>
    <w:p>
      <w:r>
        <w:rPr>
          <w:color w:val="555555"/>
          <w:sz w:val="17"/>
        </w:rPr>
        <w:t xml:space="preserve">Zitiervorschlag: § 18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