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179 TKG 2021 — Protokollierung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Der nach § 175 Absatz 1 Verpflichtete hat sicherzustellen, dass für Zwecke der Datenschutzkontrolle jeder Zugriff, insbesondere das Lesen, Kopieren, Ändern, Löschen und Sperren der aufgrund der Speicherpflicht nach § 176 Absatz 1 gespeicherten Daten protokolliert wird. Zu protokollieren sind</w:t>
      </w:r>
    </w:p>
    <w:p>
      <w:pPr>
        <w:ind w:left="420"/>
      </w:pPr>
      <w:r>
        <w:t xml:space="preserve">1. der Zeitpunkt des Zugriffs,</w:t>
      </w:r>
    </w:p>
    <w:p>
      <w:pPr>
        <w:ind w:left="420"/>
      </w:pPr>
      <w:r>
        <w:t xml:space="preserve">2. die auf die Daten zugreifenden Personen,</w:t>
      </w:r>
    </w:p>
    <w:p>
      <w:pPr>
        <w:ind w:left="420"/>
      </w:pPr>
      <w:r>
        <w:t xml:space="preserve">3. Zweck und Art des Zugriffs.</w:t>
      </w:r>
    </w:p>
    <w:p>
      <w:r>
        <w:t xml:space="preserve">(2) Für andere Zwecke als die der Datenschutzkontrolle dürfen die Protokolldaten nicht verwendet werden.</w:t>
      </w:r>
    </w:p>
    <w:p>
      <w:r>
        <w:t xml:space="preserve">(3) Der nach § 175 Absatz 1 Verpflichtete hat sicherzustellen, dass die Protokolldaten nach einem Jahr gelöscht werden.</w:t>
      </w:r>
    </w:p>
    <w:p>
      <w:r>
        <w:rPr>
          <w:color w:val="555555"/>
          <w:sz w:val="17"/>
        </w:rPr>
        <w:t xml:space="preserve">Zitiervorschlag: § 179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