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177 TKG 2021 — Verwendung der Daten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Die aufgrund des § 176 gespeicherten Daten dürfen</w:t>
      </w:r>
    </w:p>
    <w:p>
      <w:pPr>
        <w:ind w:left="420"/>
      </w:pPr>
      <w:r>
        <w:t xml:space="preserve">1. an eine Strafverfolgungsbehörde übermittelt werden, soweit diese die Übermittlung unter Berufung auf eine gesetzliche Bestimmung, die ihr eine Erhebung der in § 176 genannten Daten zur Verfolgung besonders schwerer Straftaten erlaubt, verlangt;</w:t>
      </w:r>
    </w:p>
    <w:p>
      <w:pPr>
        <w:ind w:left="420"/>
      </w:pPr>
      <w:r>
        <w:t xml:space="preserve">2. an eine Gefahrenabwehrbehörde der Länder übermittelt werden, soweit diese die Übermittlung unter Berufung auf eine gesetzliche Bestimmung, die ihr eine Erhebung der in § 176 genannten Daten zur Abwehr einer konkreten Gefahr für Leib, Leben oder Freiheit einer Person oder für den Bestand des Bundes oder eines Landes erlaubt, verlangt;</w:t>
      </w:r>
    </w:p>
    <w:p>
      <w:pPr>
        <w:ind w:left="420"/>
      </w:pPr>
      <w:r>
        <w:t xml:space="preserve">3. durch den Anbieter öffentlich zugänglicher Telekommunikationsdienste für eine Auskunft nach § 174 Absatz 1 Satz 3 verwendet werden.</w:t>
      </w:r>
    </w:p>
    <w:p>
      <w:r>
        <w:t xml:space="preserve">(2) Für andere Zwecke als die in Absatz 1 genannten dürfen die aufgrund des § 176 gespeicherten Daten von den nach § 175 Absatz 1 Verpflichteten nicht verwendet werden.</w:t>
      </w:r>
    </w:p>
    <w:p>
      <w:r>
        <w:t xml:space="preserve">(3) Die Übermittlung der Daten erfolgt nach Maßgabe der Rechtsverordnung nach § 170 Absatz 5 und der Technischen Richtlinie nach § 170 Absatz 6. Die Daten sind so zu kennzeichnen, dass erkennbar ist, dass es sich um Daten handelt, die nach § 176 gespeichert waren. Nach Übermittlung an eine andere Stelle ist die Kennzeichnung durch diese aufrechtzuerhalten.</w:t>
      </w:r>
    </w:p>
    <w:p>
      <w:r>
        <w:rPr>
          <w:color w:val="555555"/>
          <w:sz w:val="17"/>
        </w:rPr>
        <w:t xml:space="preserve">Zitiervorschlag: § 177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https://recht.nulegal.eu/gesetze/TKG%202021/177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