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 TKG 2021 — Manuelles Auskunftsverfahren</w:t>
      </w:r>
    </w:p>
    <w:p>
      <w:r>
        <w:rPr>
          <w:color w:val="555555"/>
          <w:sz w:val="18"/>
        </w:rPr>
        <w:t xml:space="preserve">Telekommunikationsgesetz</w:t>
      </w:r>
    </w:p>
    <w:p>
      <w:r>
        <w:rPr>
          <w:color w:val="555555"/>
          <w:sz w:val="18"/>
        </w:rPr>
        <w:t xml:space="preserve">Stand: 17.03.2026 (konsolidierte Textfassung, kein amtliches Inkrafttretensdatum)</w:t>
      </w:r>
    </w:p>
    <w:p>
      <w:r>
        <w:t xml:space="preserve">(1) Wer Telekommunikationsdienste erbringt oder daran mitwirkt, darf von ihm erhobene Bestandsdaten sowie die nach § 172 erhobenen Daten nach Maßgabe dieser Vorschrift zur Erfüllung von Auskunftspflichten gegenüber den in Absatz 3 genannten Stellen verwenden. Dies gilt auch für Daten, mittels derer der Zugriff auf Endgeräte oder auf Speichereinrichtungen, die in diesen Endgeräten oder hiervon räumlich getrennt eingesetzt werden, geschützt wird. Die in eine Auskunft aufzunehmenden Daten dürfen auch anhand einer zu einem bestimmten Zeitpunkt zugewiesenen Internetprotokoll-Adresse bestimmt werden; hierfür dürfen Verkehrsdaten auch automatisiert ausgewertet werden. Für die Auskunftserteilung nach Satz 3 sind sämtliche unternehmensinternen Datenquellen zu berücksichtigen. Der Verpflichtete hat die in seinem Verantwortungsbereich für die Auskunftserteilung erforderlichen Vorkehrungen auf eigene Kosten zu treffen.</w:t>
      </w:r>
    </w:p>
    <w:p>
      <w:r>
        <w:t xml:space="preserve">(2) Die Auskunft darf nur erteilt werden nach Maßgabe der nachfolgenden Absätze und soweit die um die Auskunft ersuchende Stelle dies im Einzelfall unter Angabe einer gesetzlichen Bestimmung verlangt, die ihr eine Erhebung der in Absatz 1 in Bezug genommenen Daten erlaubt. Das Auskunftsverlangen ist schriftlich oder elektronisch zu stellen. Bei Gefahr im Verzug darf die Auskunft auch erteilt werden, wenn das Verlangen in anderer Form gestellt wird. In diesem Falle ist das Verlangen unverzüglich nachträglich schriftlich oder elektronisch zu bestätigen. Die Verantwortung für die Zulässigkeit der Auskunft tragen die um Auskunft ersuchenden Stellen.</w:t>
      </w:r>
    </w:p>
    <w:p>
      <w:r>
        <w:t xml:space="preserve">(3) Die Auskunft nach Absatz 1 Satz 1 darf nur erteilt werden</w:t>
      </w:r>
    </w:p>
    <w:p>
      <w:pPr>
        <w:ind w:left="420"/>
      </w:pPr>
      <w:r>
        <w:t xml:space="preserve">1. an die für die Verfolgung von Straftaten und Ordnungswidrigkeiten zuständigen Behörden, soweit zureichende tatsächliche Anhaltspunkte für eine Straftat oder Ordnungswidrigkeit vorliegen und die in die Auskunft aufzunehmenden Daten erforderlich sind, um den Sachverhalt zu erforschen, den Aufenthaltsort eines Beschuldigten oder Betroffenen zu ermitteln oder eine Strafe zu vollstrecken,</w:t>
      </w:r>
    </w:p>
    <w:p>
      <w:pPr>
        <w:ind w:left="420"/>
      </w:pPr>
      <w:r>
        <w:t xml:space="preserve">2. an die für die Abwehr von Gefahren für die öffentliche Sicherheit oder Ordnung zuständigen Behörden, wenn die in die Auskunft aufzunehmenden Daten im Einzelfall erforderlich sind</w:t>
      </w:r>
    </w:p>
    <w:p>
      <w:pPr>
        <w:ind w:left="780"/>
      </w:pPr>
      <w:r>
        <w:t xml:space="preserve">a) zur Abwehr einer Gefahr für die öffentliche Sicherheit oder</w:t>
      </w:r>
    </w:p>
    <w:p>
      <w:pPr>
        <w:ind w:left="780"/>
      </w:pPr>
      <w:r>
        <w:t xml:space="preserve">b)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unerheblichen Sachwerten, wenn Tatsachen den Schluss auf ein wenigstens seiner Art nach konkretisiertes sowie zeitlich absehbares Geschehen zulassen, an dem bestimmte Personen beteiligt sein werden, oder</w:t>
      </w:r>
    </w:p>
    <w:p>
      <w:pPr>
        <w:ind w:left="780"/>
      </w:pPr>
      <w:r>
        <w:t xml:space="preserve">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in einem übersehbaren Zeitraum eine gegen ein solches Rechtsgut gerichtete Straftat begehen wird, oder</w:t>
      </w:r>
    </w:p>
    <w:p>
      <w:pPr>
        <w:ind w:left="780"/>
      </w:pPr>
      <w:r>
        <w:t xml:space="preserve">d) zur Verhütung einer Straftat von erheblicher Bedeutung, sofern Tatsachen die Annahme rechtfertigen, dass eine Person innerhalb eines übersehbaren Zeitraums auf eine ihrer Art nach konkretisierte Weise als Täter oder Teilnehmer an der Begehung einer Tat beteiligt ist, oder</w:t>
      </w:r>
    </w:p>
    <w:p>
      <w:pPr>
        <w:ind w:left="780"/>
      </w:pPr>
      <w:r>
        <w:t xml:space="preserve">e)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3. an das Bundeskriminalamt als Zentralstelle nach § 2 des Bundeskriminalamtgesetzes,</w:t>
      </w:r>
    </w:p>
    <w:p>
      <w:pPr>
        <w:ind w:left="780"/>
      </w:pPr>
      <w:r>
        <w:t xml:space="preserve">a) sofern zureichende tatsächliche Anhaltspunkte für eine Straftat im Sinne des § 2 Absatz 1 des Bundeskriminalamtgesetzes vorliegen und die in die Auskunft aufzunehmenden Daten erforderlich sind,</w:t>
      </w:r>
    </w:p>
    <w:p>
      <w:pPr>
        <w:ind w:left="1140"/>
      </w:pPr>
      <w:r>
        <w:t xml:space="preserve">aa) um die zuständige Strafverfolgungsbehörde zu ermitteln, oder</w:t>
      </w:r>
    </w:p>
    <w:p>
      <w:pPr>
        <w:ind w:left="1140"/>
      </w:pPr>
      <w:r>
        <w:t xml:space="preserve">bb) um ein Auskunftsersuchen einer ausländischen Strafverfolgungsbehörde im Rahmen des internationalen polizeilichen Dienstverkehrs, das nach Maßgabe der Vorschriften über die internationale Rechtshilfe in Strafsachen bearbeitet wird, zu erledigen, oder</w:t>
      </w:r>
    </w:p>
    <w:p>
      <w:pPr>
        <w:ind w:left="780"/>
      </w:pPr>
      <w:r>
        <w:t xml:space="preserve">b) sofern die in die Auskunft aufzunehmenden Daten im Rahmen der Strafvollstreckung erforderlich sind, um ein Auskunftsersuchen einer ausländischen Strafverfolgungsbehörde im Rahmen des polizeilichen Dienstverkehrs, das nach Maßgabe der Vorschriften über die internationale Rechtshilfe in Strafsachen bearbeitet wird, zu erledigen, oder</w:t>
      </w:r>
    </w:p>
    <w:p>
      <w:pPr>
        <w:ind w:left="780"/>
      </w:pPr>
      <w:r>
        <w:t xml:space="preserve">c) sofern die Gefahr besteht, dass eine Person an der Begehung einer Straftat im Sinne des § 2 Absatz 1 des Bundeskriminalamtgesetzes beteiligt sein wird und die in die Auskunft aufzunehmenden Daten erforderlich sind,</w:t>
      </w:r>
    </w:p>
    <w:p>
      <w:pPr>
        <w:ind w:left="1140"/>
      </w:pPr>
      <w:r>
        <w:t xml:space="preserve">aa) um die für die Verhütung der Straftat zuständige Polizeibehörde zu ermitteln, oder</w:t>
      </w:r>
    </w:p>
    <w:p>
      <w:pPr>
        <w:ind w:left="1140"/>
      </w:pPr>
      <w:r>
        <w:t xml:space="preserve">bb) um ein Auskunftsersuchen einer ausländischen Polizeibehörde im Rahmen des polizeilichen Dienstverkehrs zur Verhütung der Straftat zu erledigen, oder</w:t>
      </w:r>
    </w:p>
    <w:p>
      <w:pPr>
        <w:ind w:left="780"/>
      </w:pPr>
      <w:r>
        <w:t xml:space="preserve">d) sofern Tatsachen die Annahme rechtfertigen, dass eine Person innerhalb eines übersehbaren Zeitraums auf eine zumindest ihrer Art nach konkretisierte Weise an einer Straftat von erheblicher Bedeutung beteiligt sein wird und die in die Auskunft aufzunehmenden Daten erforderlich sind,</w:t>
      </w:r>
    </w:p>
    <w:p>
      <w:pPr>
        <w:ind w:left="1140"/>
      </w:pPr>
      <w:r>
        <w:t xml:space="preserve">aa) um die für die Verhütung der Straftat zuständige Polizeibehörde zu ermitteln oder</w:t>
      </w:r>
    </w:p>
    <w:p>
      <w:pPr>
        <w:ind w:left="1140"/>
      </w:pPr>
      <w:r>
        <w:t xml:space="preserve">bb) um ein Auskunftsersuchen einer ausländischen Polizeibehörde im Rahmen des polizeilichen Dienstverkehrs zur Verhütung der Straftat zu erledigen oder</w:t>
      </w:r>
    </w:p>
    <w:p>
      <w:pPr>
        <w:ind w:left="780"/>
      </w:pPr>
      <w:r>
        <w:t xml:space="preserve">e) sofern das individuelle Verhalten einer Person die konkrete Wahrscheinlichkeit begründet, dass sie innerhalb eines übersehbaren Zeitraums eine schwere Straftat nach § 100a Absatz 2 der Strafprozessordnung begehen wird und die in die Auskunft aufzunehmenden Daten erforderlich sind,</w:t>
      </w:r>
    </w:p>
    <w:p>
      <w:pPr>
        <w:ind w:left="1140"/>
      </w:pPr>
      <w:r>
        <w:t xml:space="preserve">aa) um die für die Verhütung der Straftat zuständige Polizeibehörde zu ermitteln oder</w:t>
      </w:r>
    </w:p>
    <w:p>
      <w:pPr>
        <w:ind w:left="1140"/>
      </w:pPr>
      <w:r>
        <w:t xml:space="preserve">bb) um ein Auskunftsersuchen einer ausländischen Polizeibehörde im Rahmen des polizeilichen Dienstverkehrs zur Verhütung der Straftat zu erledigen,</w:t>
      </w:r>
    </w:p>
    <w:p>
      <w:pPr>
        <w:ind w:left="420"/>
      </w:pPr>
      <w:r>
        <w:t xml:space="preserve">4. an das Zollkriminalamt als Zentralstelle nach § 3 des Zollfahndungsdienstgesetzes,</w:t>
      </w:r>
    </w:p>
    <w:p>
      <w:pPr>
        <w:ind w:left="780"/>
      </w:pPr>
      <w:r>
        <w:t xml:space="preserve">a) sofern zureichende tatsächliche Anhaltspunkte für eine Straftat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auch im Rahmen der Strafvollstreckung, zu erledigen, oder</w:t>
      </w:r>
    </w:p>
    <w:p>
      <w:pPr>
        <w:ind w:left="780"/>
      </w:pPr>
      <w:r>
        <w:t xml:space="preserve">b) sofern dies im Einzelfall erforderlich ist</w:t>
      </w:r>
    </w:p>
    <w:p>
      <w:pPr>
        <w:ind w:left="1140"/>
      </w:pPr>
      <w:r>
        <w:t xml:space="preserve">aa) zur Abwehr einer Gefahr für die öffentliche Sicherheit,</w:t>
      </w:r>
    </w:p>
    <w:p>
      <w:pPr>
        <w:ind w:left="1140"/>
      </w:pPr>
      <w:r>
        <w:t xml:space="preserve">bb)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unerheblichen Sachwerten, wenn Tatsachen den Schluss auf ein wenigstens seiner Art nach konkretisiertes und zeitlich absehbares Geschehen zulassen, an dem bestimmte Personen beteiligt sein werden, oder</w:t>
      </w:r>
    </w:p>
    <w:p>
      <w:pPr>
        <w:ind w:left="1140"/>
      </w:pPr>
      <w:r>
        <w:t xml:space="preserve">cc)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die Gefährdung eines solchen Rechtsgutes in einem übersehbaren Zeitraum eintreten wird, oder</w:t>
      </w:r>
    </w:p>
    <w:p>
      <w:pPr>
        <w:ind w:left="1140"/>
      </w:pPr>
      <w:r>
        <w:t xml:space="preserve">dd) zur Erledigung eines Auskunftsersuchens einer ausländischen Polizeibehörde im Rahmen des polizeilichen Dienstverkehrs zur Verhütung einer Straftat oder</w:t>
      </w:r>
    </w:p>
    <w:p>
      <w:pPr>
        <w:ind w:left="1140"/>
      </w:pPr>
      <w:r>
        <w:t xml:space="preserve">ee) zur Verhütung einer Straftat von erheblicher Bedeutung, sofern Tatsachen die Annahme rechtfertigen, dass eine Person innerhalb eines übersehbaren Zeitraums auf eine ihrer Art nach konkretisierte Weise als Täter oder Teilnehmer an der Begehung der Tat beteiligt ist, oder</w:t>
      </w:r>
    </w:p>
    <w:p>
      <w:pPr>
        <w:ind w:left="1140"/>
      </w:pPr>
      <w:r>
        <w:t xml:space="preserve">ff)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5. an die Verfassungsschutzbehörden des Bundes und der Länder, soweit dies aufgrund tatsächlicher Anhaltspunkte im Einzelfall erforderlich ist zur Aufklärung bestimmter Bestrebungen oder Tätigkeiten nach</w:t>
      </w:r>
    </w:p>
    <w:p>
      <w:pPr>
        <w:ind w:left="780"/>
      </w:pPr>
      <w:r>
        <w:t xml:space="preserve">a) § 3 Absatz 1 des Bundesverfassungsschutzgesetzes oder</w:t>
      </w:r>
    </w:p>
    <w:p>
      <w:pPr>
        <w:ind w:left="780"/>
      </w:pPr>
      <w:r>
        <w:t xml:space="preserve">b) einem zum Verfassungsschutz (§ 1 Absatz 1 des Bundesverfassungsschutzgesetzes) landesgesetzlich begründeten Beobachtungsauftrag der Landesbehörde, insbesondere zum Schutz der verfassungsmäßigen Ordnung vor Bestrebungen und Tätigkeiten der organisierten Kriminalität,</w:t>
      </w:r>
    </w:p>
    <w:p>
      <w:pPr>
        <w:ind w:left="420"/>
      </w:pPr>
      <w:r>
        <w:t xml:space="preserve">6. an den Militärischen Abschirmdienst, soweit dies aufgrund tatsächlicher Anhaltspunkte im Einzelfall zur Wahrnehmung der Aufgaben nach § 2 Absatz 1, 4 oder 5 des MAD-Gesetzes erforderlich ist,</w:t>
      </w:r>
    </w:p>
    <w:p>
      <w:pPr>
        <w:ind w:left="420"/>
      </w:pPr>
      <w:r>
        <w:t xml:space="preserve">7. an den Bundesnachrichtendienst, soweit dies erforderlich ist</w:t>
      </w:r>
    </w:p>
    <w:p>
      <w:pPr>
        <w:ind w:left="780"/>
      </w:pPr>
      <w:r>
        <w:t xml:space="preserve">a) zur politischen Unterrichtung der Bundesregierung, wenn im Einzelfall tatsächliche Anhaltspunkte dafür vorliegen, dass durch die Auskunft Informationen über das Ausland gewonnen werden können, die von außen- und sicherheitspolitischer Bedeutung für die Bundesrepublik Deutschland sind und zu deren Aufklärung das Bundeskanzleramt den Bundesnachrichtendienst beauftragt hat, oder</w:t>
      </w:r>
    </w:p>
    <w:p>
      <w:pPr>
        <w:ind w:left="780"/>
      </w:pPr>
      <w:r>
        <w:t xml:space="preserve">b) zur Früherkennung von aus dem Ausland drohenden Gefahren von internationaler Bedeutung, wenn im Einzelfall tatsächliche Anhaltspunkte dafür vorliegen, dass durch die Auskunft Erkenntnisse gewonnen werden können mit Bezug zu den in § 4 Absatz 3 Nummer 1 des BND-Gesetzes genannten Gefahrenbereichen oder zum Schutz der in § 4 Absatz 3 Nummer 2 und 3 des BND-Gesetzes genannten Rechtsgüter,</w:t>
      </w:r>
    </w:p>
    <w:p>
      <w:pPr>
        <w:ind w:left="420"/>
      </w:pPr>
      <w:r>
        <w:t xml:space="preserve">8. an das Bundesamt für Sicherheit in der Informationstechnik zum Schutz der Versorgung der Bevölkerung in den Sektoren des § 2 Nummer 4 des KRITIS-Dachgesetzes oder der öffentlichen Sicherheit, um damit eine Beeinträchtigung der Sicherheit oder Funktionsfähigkeit informationstechnischer Systeme einer kritischen Anlage oder eines Unternehmens im besonderen öffentlichen Interesse abzuwenden, wenn Tatsachen den Schluss auf ein wenigstens seiner Art nach konkretisiertes und zeitlich absehbares Geschehen zulassen, das auf die informationstechnischen Systeme bestimmbarer Infrastrukturen oder Unternehmen abzielen wird, und die in die Auskunft aufzunehmenden Daten im Einzelfall erforderlich sind, um den Betreiber der betroffenen kritischen Anlage oder das betroffene Unternehmen im besonderen öffentlichen Interesse vor dieser Beeinträchtigung zu warnen, über diese zu informieren oder bei deren Beseitigung zu beraten oder zu unterstützen.</w:t>
      </w:r>
    </w:p>
    <w:p>
      <w:r>
        <w:t xml:space="preserve">(4) Die Auskunft nach Absatz 1 Satz 2 darf nur unter den Voraussetzungen des Absatzes 3 und nur dann erteilt werden, wenn die Auskunft verlangende Stelle auch zur Nutzung der zu beauskunftenden Daten im Einzelfall berechtigt ist. Die Verantwortung für die Berechtigung zur Nutzung der zu beauskunftenden Daten tragen die um Auskunft ersuchenden Stellen.</w:t>
      </w:r>
    </w:p>
    <w:p>
      <w:r>
        <w:t xml:space="preserve">(5) Die Auskunft nach Absatz 1 Satz 3 darf nur erteilt werden an</w:t>
      </w:r>
    </w:p>
    <w:p>
      <w:pPr>
        <w:ind w:left="420"/>
      </w:pPr>
      <w:r>
        <w:t xml:space="preserve">1. die für die Verfolgung von Straftaten zuständigen Behörden, soweit zureichende tatsächliche Anhaltspunkte für eine Straftat vorliegen und die in die Auskunft aufzunehmenden Daten erforderlich sind, um den Sachverhalt zu erforschen, den Aufenthaltsort eines Beschuldigten zu ermitteln oder eine Strafe zu vollstrecken,</w:t>
      </w:r>
    </w:p>
    <w:p>
      <w:pPr>
        <w:ind w:left="420"/>
      </w:pPr>
      <w:r>
        <w:t xml:space="preserve">2. die für die Abwehr von Gefahren für die öffentliche Sicherheit oder Ordnung zuständigen Behörden, wenn die in die Auskunft aufzunehmenden Daten im Einzelfall erforderlich sind</w:t>
      </w:r>
    </w:p>
    <w:p>
      <w:pPr>
        <w:ind w:left="780"/>
      </w:pPr>
      <w:r>
        <w:t xml:space="preserve">a)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unerheblicher Sachwerte oder zur Verhütung einer Straftat oder</w:t>
      </w:r>
    </w:p>
    <w:p>
      <w:pPr>
        <w:ind w:left="780"/>
      </w:pPr>
      <w:r>
        <w:t xml:space="preserve">b)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Tatsachen den Schluss auf ein wenigstens seiner Art nach konkretisiertes sowie zeitlich absehbares Geschehen zulassen, an dem bestimmte Personen beteiligt sein werden, oder</w:t>
      </w:r>
    </w:p>
    <w:p>
      <w:pPr>
        <w:ind w:left="780"/>
      </w:pPr>
      <w:r>
        <w:t xml:space="preserve">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in einem übersehbaren Zeitraum eine gegen ein solches Rechtsgut gerichtete Straftat begehen wird, oder</w:t>
      </w:r>
    </w:p>
    <w:p>
      <w:pPr>
        <w:ind w:left="780"/>
      </w:pPr>
      <w:r>
        <w:t xml:space="preserve">d) zur Verhütung einer schweren Straftat nach § 100a Absatz 2 der Strafprozessordnung, sofern Tatsachen die Annahme rechtfertigen, dass eine Person innerhalb eines übersehbaren Zeitraums auf eine ihrer Art nach konkretisierten Weise als Täter oder Teilnehmer an der Begehung einer Tat beteiligt ist, oder</w:t>
      </w:r>
    </w:p>
    <w:p>
      <w:pPr>
        <w:ind w:left="780"/>
      </w:pPr>
      <w:r>
        <w:t xml:space="preserve">e)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3. das Bundeskriminalamt als Zentralstelle nach § 2 des Bundeskriminalamtgesetzes, sofern</w:t>
      </w:r>
    </w:p>
    <w:p>
      <w:pPr>
        <w:ind w:left="780"/>
      </w:pPr>
      <w:r>
        <w:t xml:space="preserve">a) zureichende tatsächliche Anhaltspunkte für eine Straftat im Sinne des § 2 Absatz 1 des Bundeskriminalamtgesetzes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zu erledigen, oder</w:t>
      </w:r>
    </w:p>
    <w:p>
      <w:pPr>
        <w:ind w:left="780"/>
      </w:pPr>
      <w:r>
        <w:t xml:space="preserve">b) die in die Auskunft aufzunehmenden Daten im Rahmen der Strafvollstreckung erforderlich sind, um ein Auskunftsersuchen einer ausländischen Strafverfolgungsbehörde im Rahmen des polizeilichen Dienstverkehrs, das nach Maßgabe der Vorschriften über die internationale Rechtshilfe in Strafsachen bearbeitet wird, zu erledigen,</w:t>
      </w:r>
    </w:p>
    <w:p>
      <w:pPr>
        <w:ind w:left="780"/>
      </w:pPr>
      <w:r>
        <w:t xml:space="preserve">c) die Gefahr besteht, dass eine Person an der Begehung einer Straftat im Sinne des § 2 Absatz 1 des Bundeskriminalamtgesetzes beteiligt sein wird und die in die Auskunft aufzunehmenden Daten erforderlich sind, um</w:t>
      </w:r>
    </w:p>
    <w:p>
      <w:pPr>
        <w:ind w:left="1140"/>
      </w:pPr>
      <w:r>
        <w:t xml:space="preserve">aa) die für die Verhütung der Straftat zuständigen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d) Tatsachen die Annahme rechtfertigen, dass eine Person innerhalb eines übersehbaren Zeitraums auf eine zumindest ihrer Art nach konkretisierte Weise an einer schweren Straftat nach § 100a Absatz 2 der Strafprozessordnung beteiligt sein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 oder</w:t>
      </w:r>
    </w:p>
    <w:p>
      <w:pPr>
        <w:ind w:left="780"/>
      </w:pPr>
      <w:r>
        <w:t xml:space="preserve">e) das individuelle Verhalten einer Person die konkrete Wahrscheinlichkeit begründet, dass sie innerhalb eines übersehbaren Zeitraums eine schwere Straftat nach § 100a Absatz 2 der Strafprozessordnung begehen wird, und die in die Auskunft aufzunehmenden Daten erforderlich sind, um</w:t>
      </w:r>
    </w:p>
    <w:p>
      <w:pPr>
        <w:ind w:left="1140"/>
      </w:pPr>
      <w:r>
        <w:t xml:space="preserve">aa) die für die Verhütung der Straftat zuständige Polizeibehörde zu ermitteln, oder</w:t>
      </w:r>
    </w:p>
    <w:p>
      <w:pPr>
        <w:ind w:left="1140"/>
      </w:pPr>
      <w:r>
        <w:t xml:space="preserve">bb) ein Auskunftsersuchen einer ausländischen Polizeibehörde im Rahmen des polizeilichen Dienstverkehrs zur Verhütung der Straftat zu erledigen,</w:t>
      </w:r>
    </w:p>
    <w:p>
      <w:pPr>
        <w:ind w:left="420"/>
      </w:pPr>
      <w:r>
        <w:t xml:space="preserve">4. das Zollkriminalamt als Zentralstelle nach § 3 des Zollfahndungsdienstgesetzes, sofern</w:t>
      </w:r>
    </w:p>
    <w:p>
      <w:pPr>
        <w:ind w:left="780"/>
      </w:pPr>
      <w:r>
        <w:t xml:space="preserve">a) im Einzelfall zureichende tatsächliche Anhaltspunkte für eine Straftat vorliegen und die in die Auskunft aufzunehmenden Daten erforderlich sind, um</w:t>
      </w:r>
    </w:p>
    <w:p>
      <w:pPr>
        <w:ind w:left="1140"/>
      </w:pPr>
      <w:r>
        <w:t xml:space="preserve">aa) die zuständige Strafverfolgungsbehörde zu ermitteln, oder</w:t>
      </w:r>
    </w:p>
    <w:p>
      <w:pPr>
        <w:ind w:left="1140"/>
      </w:pPr>
      <w:r>
        <w:t xml:space="preserve">bb) ein Auskunftsersuchen einer ausländischen Strafverfolgungsbehörde im Rahmen des internationalen polizeilichen Dienstverkehrs, das nach Maßgabe der Vorschriften über die internationale Rechtshilfe in Strafsachen bearbeitet wird, auch im Rahmen der Strafvollstreckung, zu erledigen, oder</w:t>
      </w:r>
    </w:p>
    <w:p>
      <w:pPr>
        <w:ind w:left="780"/>
      </w:pPr>
      <w:r>
        <w:t xml:space="preserve">b) dies im Einzelfall erforderlich ist</w:t>
      </w:r>
    </w:p>
    <w:p>
      <w:pPr>
        <w:ind w:left="1140"/>
      </w:pPr>
      <w:r>
        <w:t xml:space="preserve">aa)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unerheblicher Sachwerte oder zur Verhütung einer Straftat, oder</w:t>
      </w:r>
    </w:p>
    <w:p>
      <w:pPr>
        <w:ind w:left="1140"/>
      </w:pPr>
      <w:r>
        <w:t xml:space="preserve">bb)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Tatsachen den Schluss auf ein wenigstens seiner Art nach konkretisiertes und zeitlich absehbares Geschehen zulassen, an dem bestimmte Personen beteiligt sein werden, oder</w:t>
      </w:r>
    </w:p>
    <w:p>
      <w:pPr>
        <w:ind w:left="1140"/>
      </w:pPr>
      <w:r>
        <w:t xml:space="preserve">cc)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die Gefährdung eines solchen Rechtsgutes in einem übersehbaren Zeitraum eintreten wird, oder</w:t>
      </w:r>
    </w:p>
    <w:p>
      <w:pPr>
        <w:ind w:left="1140"/>
      </w:pPr>
      <w:r>
        <w:t xml:space="preserve">dd) zur Erledigung eines Auskunftsersuchens einer ausländischen Polizeibehörde im Rahmen des polizeilichen Dienstverkehrs zur Verhütung einer schweren Straftat nach § 100a Absatz 2 der Strafprozessordnung, oder</w:t>
      </w:r>
    </w:p>
    <w:p>
      <w:pPr>
        <w:ind w:left="1140"/>
      </w:pPr>
      <w:r>
        <w:t xml:space="preserve">ee) zur Verhütung einer schweren Straftat nach § 100a Absatz 2 der Strafprozessordnung, sofern Tatsachen die Annahme rechtfertigen, dass eine Person innerhalb eines übersehbaren Zeitraums auf eine ihrer Art nach konkretisierte Weise als Täter oder Teilnehmer an der Begehung der Tat beteiligt ist, oder</w:t>
      </w:r>
    </w:p>
    <w:p>
      <w:pPr>
        <w:ind w:left="1140"/>
      </w:pPr>
      <w:r>
        <w:t xml:space="preserve">ff)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5. die Verfassungsschutzbehörden des Bundes und der Länder, soweit dies aufgrund tatsächlicher Anhaltspunkte im Einzelfall erforderlich ist zur Aufklärung bestimmter Bestrebungen oder Tätigkeiten nach</w:t>
      </w:r>
    </w:p>
    <w:p>
      <w:pPr>
        <w:ind w:left="780"/>
      </w:pPr>
      <w:r>
        <w:t xml:space="preserve">a) § 3 Absatz 1 des Bundesverfassungsschutzgesetzes oder</w:t>
      </w:r>
    </w:p>
    <w:p>
      <w:pPr>
        <w:ind w:left="780"/>
      </w:pPr>
      <w:r>
        <w:t xml:space="preserve">b) einem zum Verfassungsschutz (§ 1 Absatz 1 des Bundesverfassungsschutzgesetzes) landesgesetzlich begründeten Beobachtungsauftrag der Landesbehörde, insbesondere zum Schutz der verfassungsmäßigen Ordnung vor Bestrebungen und Tätigkeiten der organisierten Kriminalität,</w:t>
      </w:r>
    </w:p>
    <w:p>
      <w:pPr>
        <w:ind w:left="420"/>
      </w:pPr>
      <w:r>
        <w:t xml:space="preserve">6. an den Militärischen Abschirmdienst, soweit dies aufgrund tatsächlicher Anhaltspunkte im Einzelfall zur Wahrnehmung der Aufgaben nach § 2 Absatz 1, 4 oder 5 des MAD-Gesetzes erforderlich ist,</w:t>
      </w:r>
    </w:p>
    <w:p>
      <w:pPr>
        <w:ind w:left="420"/>
      </w:pPr>
      <w:r>
        <w:t xml:space="preserve">7. den Bundesnachrichtendienst, soweit dies erforderlich ist</w:t>
      </w:r>
    </w:p>
    <w:p>
      <w:pPr>
        <w:ind w:left="780"/>
      </w:pPr>
      <w:r>
        <w:t xml:space="preserve">a) zur politischen Unterrichtung der Bundesregierung, wenn im Einzelfall tatsächliche Anhaltspunkte dafür vorliegen, dass durch die Auskunft Informationen über das Ausland gewonnen werden können, die von außen- und sicherheitspolitischer Bedeutung für die Bundesrepublik Deutschland sind und zu deren Aufklärung das Bundeskanzleramt den Bundesnachrichtendienst beauftragt hat, oder</w:t>
      </w:r>
    </w:p>
    <w:p>
      <w:pPr>
        <w:ind w:left="780"/>
      </w:pPr>
      <w:r>
        <w:t xml:space="preserve">b) zur Früherkennung von aus dem Ausland drohenden Gefahren von internationaler Bedeutung, wenn im Einzelfall tatsächliche Anhaltspunkte dafür vorliegen, dass durch die Auskunft Erkenntnisse gewonnen werden können mit Bezug zu den in § 4 Absatz 3 Nummer 1 des BND-Gesetzes genannten Gefahrenbereichen oder zum Schutz der in § 4 Absatz 3 Nummer 2 und 3 des BND-Gesetzes genannten Rechtsgüter,</w:t>
      </w:r>
    </w:p>
    <w:p>
      <w:pPr>
        <w:ind w:left="420"/>
      </w:pPr>
      <w:r>
        <w:t xml:space="preserve">8. an das Bundesamt für Sicherheit in der Informationstechnik zum Schutz der Versorgung der Bevölkerung in den Sektoren des § 2 Nummer 4 des KRITIS-Dachgesetzes oder der öffentlichen Sicherheit, um damit eine Beeinträchtigung der Sicherheit oder Funktionsfähigkeit informationstechnischer Systeme einer kritischen Anlage oder eines Unternehmens im besonderen öffentlichen Interesse abzuwenden, wenn Tatsachen den Schluss auf ein wenigstens seiner Art nach konkretisiertes und zeitlich absehbares Geschehen zulassen, das auf die informationstechnischen Systeme bestimmbarer Infrastrukturen oder Unternehmen abzielen wird, und die in die Auskunft aufzunehmenden Daten im Einzelfall erforderlich sind, um den Betreiber der betroffenen kritischen Anlage oder das betroffene Unternehmen im besonderen öffentlichen Interesse vor dieser Beeinträchtigung zu warnen, über diese zu informieren oder bei deren Beseitigung zu beraten oder zu unterstützen.</w:t>
      </w:r>
    </w:p>
    <w:p>
      <w:r>
        <w:t xml:space="preserve">(6) Derjenige, der geschäftsmäßig Telekommunikationsdienste erbringt oder daran mitwirkt, hat die zu beauskunftenden Daten unverzüglich und vollständig zu übermitteln. Über das Auskunftsersuchen und die Auskunftserteilung haben die Verpflichteten gegenüber den Betroffenen sowie Dritten Stillschweigen zu wahren.</w:t>
      </w:r>
    </w:p>
    <w:p>
      <w:r>
        <w:t xml:space="preserve">(7) Wer öffentlich zugängliche Telekommunikationsdienste erbringt, hat für die Entgegennahme der Auskunftsverlangen sowie für die Erteilung der zugehörigen Auskünfte gesicherte elektronische Schnittstellen nach Maßgabe der Verordnung nach § 170 Absatz 5 und der Technischen Richtlinie nach § 170 Absatz 6 bereitzuhalten, durch die auch die gegen die Kenntnisnahme der Daten durch Unbefugte gesicherte Übertragung gewährleistet ist. Dabei haben Verpflichtete mit 100 000 oder mehr Vertragspartnern die Schnittstelle sowie das E-Mail-basierte Übermittlungsverfahren nach der Technischen Richtlinie nach § 170 Absatz 6 bereitzuhalten. Verpflichtete mit weniger als 100 000 Vertragspartnern müssen nur das E-Mail-basierte Übermittlungsverfahren bereithalten. Darüber hinaus gelten für die Entgegennahme der Auskunftsverlangen sowie für die Übermittlung der zugehörigen Auskünfte § 31 Absatz 2 Satz 2 bis 4 und Absatz 6 und 7, § 34 Absatz 1 Satz 1 und 3 und Absatz 2 sowie § 35 der Verordnung nach § 170 Absatz 5 entsprechend. Die Verpflichteten haben dafür Sorge zu tragen, dass jedes Auskunftsverlangen durch eine verantwortliche Fachkraft auf Einhaltung der in Absatz 2 genannten formalen Voraussetzungen geprüft und die weitere Bearbeitung des Verlangens erst nach einem positiven Prüfergebnis freigegeben wird. Die Prüfung und Freigabe durch eine verantwortliche Fachkraft nach Satz 5 kann unterbleiben, sofern durch die technische Ausgestaltung der elektronischen Schnittstelle die Einhaltung der in Absatz 2 genannten formalen Voraussetzungen automatisch überprüft werden kann.</w:t>
      </w:r>
    </w:p>
    <w:p>
      <w:r>
        <w:rPr>
          <w:color w:val="555555"/>
          <w:sz w:val="17"/>
        </w:rPr>
        <w:t xml:space="preserve">Zitiervorschlag: § 174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