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171 TKG 2021 — Mitwirkung bei technischen Ermittlungsmaßnahmen bei Mobilfunkendgeräten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Jeder Betreiber eines öffentlichen Mobilfunknetzes hat den berechtigten Stellen nach § 100i Absatz 1 der Strafprozessordnung, § 53 des Bundekriminalamtsgesetzes, § 12 Absatz 1 des MAD-Gesetzes, § 9 Absatz 4 des Bundesverfassungsschutzgesetzes, auch in Verbindung mit § 5 des BND-Gesetzes, oder nach Landesrecht nach Maßgabe der Rechtsverordnung nach § 170 Absatz 5 und der Technischen Richtlinie nach § 170 Absatz 6 ohne dass dies dem Endnutzer bekannt wird,</w:t>
      </w:r>
    </w:p>
    <w:p>
      <w:pPr>
        <w:ind w:left="420"/>
      </w:pPr>
      <w:r>
        <w:t xml:space="preserve">1. den Einsatz von technischen Mitteln der berechtigten Stellen in seinem Mobilfunknetz zu ermöglichen, die der Ermittlung folgender Informationen von Mobilfunkendgeräten dienen:</w:t>
      </w:r>
    </w:p>
    <w:p>
      <w:pPr>
        <w:ind w:left="780"/>
      </w:pPr>
      <w:r>
        <w:t xml:space="preserve">a) des Standortes,</w:t>
      </w:r>
    </w:p>
    <w:p>
      <w:pPr>
        <w:ind w:left="780"/>
      </w:pPr>
      <w:r>
        <w:t xml:space="preserve">b) der Gerätenummer,</w:t>
      </w:r>
    </w:p>
    <w:p>
      <w:pPr>
        <w:ind w:left="780"/>
      </w:pPr>
      <w:r>
        <w:t xml:space="preserve">c) der Kennung zur Identifizierung des Anschlusses und</w:t>
      </w:r>
    </w:p>
    <w:p>
      <w:pPr>
        <w:ind w:left="780"/>
      </w:pPr>
      <w:r>
        <w:t xml:space="preserve">d) der temporären oder dauerhaften Kennungen, die Mobilfunkendgeräten in seinem Mobilfunknetz zugewiesen sind,</w:t>
      </w:r>
    </w:p>
    <w:p>
      <w:pPr>
        <w:ind w:left="420"/>
      </w:pPr>
      <w:r>
        <w:t xml:space="preserve">sowie</w:t>
      </w:r>
    </w:p>
    <w:p>
      <w:pPr>
        <w:ind w:left="420"/>
      </w:pPr>
      <w:r>
        <w:t xml:space="preserve">2. eine automatisierte Auskunft über die temporär und dauerhaft in seinem Mobilfunknetz zugewiesenen Kennungen unverzüglich zu erteilen.</w:t>
      </w:r>
    </w:p>
    <w:p>
      <w:r>
        <w:t xml:space="preserve">§ 170 Absatz 10 gilt entsprechend. Verpflichtungen nach Maßgabe des § 170 bleiben unberührt. Die Benachrichtigung des Endnutzers erfolgt ausschließlich durch die für die Maßnahme zuständige Behörde nach den jeweils geltenden Vorschriften.</w:t>
      </w:r>
    </w:p>
    <w:p>
      <w:r>
        <w:rPr>
          <w:color w:val="555555"/>
          <w:sz w:val="17"/>
        </w:rPr>
        <w:t xml:space="preserve">Zitiervorschlag: § 171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