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167 TKG 2021 — Katalog von Sicherheitsanforderungen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Die Bundesnetzagentur legt im Einvernehmen mit dem Bundesamt für Sicherheit in der Informationstechnik und der oder dem Bundesbeauftragten für den Datenschutz und die Informationsfreiheit durch Allgemeinverfügung in einem Katalog von Sicherheitsanforderungen für das Betreiben von Telekommunikations- und Datenverarbeitungssystemen sowie für die Verarbeitung personenbezogener Daten fest:</w:t>
      </w:r>
    </w:p>
    <w:p>
      <w:pPr>
        <w:ind w:left="420"/>
      </w:pPr>
      <w:r>
        <w:t xml:space="preserve">1. Einzelheiten der nach § 165 Absatz 1 bis 7 zu treffenden technischen Vorkehrungen und sonstigen Maßnahmen unter Beachtung der verschiedenen Gefährdungspotenziale der öffentlichen Telekommunikationsnetze und öffentlich zugänglichen Telekommunikationsdienste,</w:t>
      </w:r>
    </w:p>
    <w:p>
      <w:pPr>
        <w:ind w:left="420"/>
      </w:pPr>
      <w:r>
        <w:t xml:space="preserve">2. welche Funktionen kritische Funktionen im Sinne von § 2 Nummer 23 Buchstabe c Doppelbuchstabe bb des BSI-Gesetzes sind, die von kritischen Komponenten im Sinne von § 2 Nummer 23 des BSI-Gesetzes realisiert werden, und</w:t>
      </w:r>
    </w:p>
    <w:p>
      <w:pPr>
        <w:ind w:left="420"/>
      </w:pPr>
      <w:r>
        <w:t xml:space="preserve">3. wer als Betreiber öffentlicher Telekommunikationsnetze und als Anbieter öffentlich zugänglicher Telekommunikationsdienste mit erhöhtem Gefährdungspotenzial einzustufen ist.</w:t>
      </w:r>
    </w:p>
    <w:p>
      <w:r>
        <w:t xml:space="preserve">Der Katalog von Sicherheitsanforderungen nach Satz 1 kann auch Anforderungen zur Offenlegung und Interoperabilität von Schnittstellen von Netzkomponenten einschließlich einzuhaltender technischer Standards enthalten. Die Bundesnetzagentur gibt den Herstellern, den Verbänden der Betreiber öffentlicher Telekommunikationsnetze und den Verbänden der Anbieter öffentlich zugänglicher Telekommunikationsdienste Gelegenheit zur Stellungnahme.</w:t>
      </w:r>
    </w:p>
    <w:p>
      <w:r>
        <w:t xml:space="preserve">(2) Die Befugnis der Bundesnetzagentur nach Absatz 1 Nummer 2 besteht bis zum Erlass einer Rechtsverordnung nach § 56 Absatz 7 des BSI-Gesetzes für den Sektor Informationstechnik und Telekommunikation im Sinne des § 2 Nummer 24 fort. Eine von der Bundesnetzagentur auf der Grundlage von Absatz 1 Satz 1 Nummer 2 erlassene Allgemeinverfügung ist mit dem Inkrafttreten einer Rechtsverordnung nach § 56 Absatz 7 des BSI-Gesetzes für den Sektor Informationstechnik und Telekommunikation aufzuheben.</w:t>
      </w:r>
    </w:p>
    <w:p>
      <w:r>
        <w:t xml:space="preserve">(3) Die Verpflichteten haben die Vorgaben des Katalogs spätestens ein Jahr nach dessen Inkrafttreten zu erfüllen, es sei denn, in dem Katalog ist eine davon abweichende Umsetzungsfrist festgelegt worden.</w:t>
      </w:r>
    </w:p>
    <w:p>
      <w:r>
        <w:rPr>
          <w:color w:val="555555"/>
          <w:sz w:val="17"/>
        </w:rPr>
        <w:t xml:space="preserve">Zitiervorschlag: § 167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