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164a TKG 2021 — Öffentliche Warnungen</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Betreiber öffentlicher Mobilfunknetze haben</w:t>
      </w:r>
    </w:p>
    <w:p>
      <w:pPr>
        <w:ind w:left="420"/>
      </w:pPr>
      <w:r>
        <w:t xml:space="preserve">1. technische Einrichtungen für Warnungen vor drohenden oder sich ausbreitenden größeren Notfällen und Katastrophen vorzuhalten, die</w:t>
      </w:r>
    </w:p>
    <w:p>
      <w:pPr>
        <w:ind w:left="780"/>
      </w:pPr>
      <w:r>
        <w:t xml:space="preserve">a) über das zentrale Warnsystem des Bundes von den Gefahrenabwehrbehörden sowie Behörden des Zivil- und Katastrophenschutzes ausgelöst und</w:t>
      </w:r>
    </w:p>
    <w:p>
      <w:pPr>
        <w:ind w:left="780"/>
      </w:pPr>
      <w:r>
        <w:t xml:space="preserve">b) an empfangsbereite Mobilfunkendgeräte, die sich in dem von der auslösenden Behörde bestimmten geographischen Gebiet befinden, ausgesendet werden können und</w:t>
      </w:r>
    </w:p>
    <w:p>
      <w:pPr>
        <w:ind w:left="420"/>
      </w:pPr>
      <w:r>
        <w:t xml:space="preserve">2. durch organisatorische Vorkehrungen die Möglichkeit der jederzeitigen unverzüglichen Aussendung von Warnungen nach Nummer 1 sicherzustellen.</w:t>
      </w:r>
    </w:p>
    <w:p>
      <w:r>
        <w:t xml:space="preserve">(2) Betreiber öffentlicher Mobilfunknetze haben Warnungen nach Absatz 1 an alle Mobilfunkendgeräte in dem von der auslösenden Behörde bestimmten geographischen Gebiet auszusenden.</w:t>
      </w:r>
    </w:p>
    <w:p>
      <w:r>
        <w:t xml:space="preserve">(3) Anbieter öffentlich zugänglicher mobiler nummerngebundener interpersoneller Telekommunikationsdienste</w:t>
      </w:r>
    </w:p>
    <w:p>
      <w:pPr>
        <w:ind w:left="420"/>
      </w:pPr>
      <w:r>
        <w:t xml:space="preserve">1. wirken im notwendigen Umfang daran mit, dass Warnungen nach Absatz 1 jederzeit und unverzüglich zu den Endnutzern in dem bestimmten geographischen Gebiet ausgesendet werden können und</w:t>
      </w:r>
    </w:p>
    <w:p>
      <w:pPr>
        <w:ind w:left="420"/>
      </w:pPr>
      <w:r>
        <w:t xml:space="preserve">2. informieren ihre Endnutzer über die Voraussetzungen für den Empfang von Warnungen nach Absatz 1.</w:t>
      </w:r>
    </w:p>
    <w:p>
      <w:r>
        <w:t xml:space="preserve">(4) Das Bundesministerium für Digitales und Staatsmodernisierung wird ermächtigt, im Einvernehmen mit dem Bundesministerium des Innern durch Rechtsverordnung mit Zustimmung des Bundesrates Regelungen zu treffen</w:t>
      </w:r>
    </w:p>
    <w:p>
      <w:pPr>
        <w:ind w:left="420"/>
      </w:pPr>
      <w:r>
        <w:t xml:space="preserve">1. über die grundlegenden technischen Anforderungen für die Aussendung von Warnungen im öffentlichen Mobilfunknetz, einschließlich der zu beachtenden Sicherheitsanforderungen,</w:t>
      </w:r>
    </w:p>
    <w:p>
      <w:pPr>
        <w:ind w:left="420"/>
      </w:pPr>
      <w:r>
        <w:t xml:space="preserve">2. über die organisatorischen Rahmenbedingungen für die Aussendung von Warnungen, einschließlich Erreichbarkeits- und Reaktionszeiten,</w:t>
      </w:r>
    </w:p>
    <w:p>
      <w:pPr>
        <w:ind w:left="420"/>
      </w:pPr>
      <w:r>
        <w:t xml:space="preserve">3. zum Umfang der bei der Aussendung von Warnungen zu erbringenden Leistungsmerkmale, einschließlich der dabei verarbeiteten Daten,</w:t>
      </w:r>
    </w:p>
    <w:p>
      <w:pPr>
        <w:ind w:left="420"/>
      </w:pPr>
      <w:r>
        <w:t xml:space="preserve">4. zur Konkretisierung der Verpflichtungen für Anbieter nach Absatz 3 und</w:t>
      </w:r>
    </w:p>
    <w:p>
      <w:pPr>
        <w:ind w:left="420"/>
      </w:pPr>
      <w:r>
        <w:t xml:space="preserve">5. zu den Aufgaben der Bundesnetzagentur hinsichtlich der in den Nummern 1 bis 4 aufgeführten Gebiete.</w:t>
      </w:r>
    </w:p>
    <w:p>
      <w:r>
        <w:t xml:space="preserve">(5) Die technischen Einzelheiten zu den in Absatz 4 Nummer 1 bis 4 aufgeführten Regelungsgegenständen legt die Bundesnetzagentur in einer Technischen Richtlinie fest; dabei berücksichtigt sie die Vorschriften der Rechtsverordnung nach Absatz 4. Die Bundesnetzagentur erstellt die Technische Richtlinie unter Beteiligung</w:t>
      </w:r>
    </w:p>
    <w:p>
      <w:pPr>
        <w:ind w:left="420"/>
      </w:pPr>
      <w:r>
        <w:t xml:space="preserve">1. der Verbände</w:t>
      </w:r>
    </w:p>
    <w:p>
      <w:pPr>
        <w:ind w:left="780"/>
      </w:pPr>
      <w:r>
        <w:t xml:space="preserve">a) der durch die Absätze 1 und 2 verpflichteten Betreiber öffentlicher Mobilfunknetze,</w:t>
      </w:r>
    </w:p>
    <w:p>
      <w:pPr>
        <w:ind w:left="780"/>
      </w:pPr>
      <w:r>
        <w:t xml:space="preserve">b) der durch Absatz 3 verpflichteten Anbieter öffentlich zugänglicher mobiler nummerngebundener interpersoneller Telekommunikationsdienste,</w:t>
      </w:r>
    </w:p>
    <w:p>
      <w:pPr>
        <w:ind w:left="780"/>
      </w:pPr>
      <w:r>
        <w:t xml:space="preserve">c) der Hersteller der in den Mobilfunknetzen eingesetzten technischen Einrichtungen und</w:t>
      </w:r>
    </w:p>
    <w:p>
      <w:pPr>
        <w:ind w:left="780"/>
      </w:pPr>
      <w:r>
        <w:t xml:space="preserve">d) der Hersteller der Mobilfunkendgeräte,</w:t>
      </w:r>
    </w:p>
    <w:p>
      <w:pPr>
        <w:ind w:left="420"/>
      </w:pPr>
      <w:r>
        <w:t xml:space="preserve">2. des Bundesamtes für Bevölkerungsschutz und Katastrophenhilfe,</w:t>
      </w:r>
    </w:p>
    <w:p>
      <w:pPr>
        <w:ind w:left="420"/>
      </w:pPr>
      <w:r>
        <w:t xml:space="preserve">3. der vom Bundesamt für Bevölkerungsschutz und Katastrophenhilfe benannten Vertreter der in Absatz 1 Nummer 1 Buchstabe a genannten Behörden und</w:t>
      </w:r>
    </w:p>
    <w:p>
      <w:pPr>
        <w:ind w:left="420"/>
      </w:pPr>
      <w:r>
        <w:t xml:space="preserve">4. des Bundesamtes für Sicherheit in der Informationstechnik hinsichtlich der technischen Anforderungen in Absatz 4 Nummer 1.</w:t>
      </w:r>
    </w:p>
    <w:p>
      <w:r>
        <w:t xml:space="preserve">Bei den Festlegungen in der Technischen Richtlinie sind internationale Standards zu berücksichtigen; Abweichungen von den Standards sind zu begründen. Die nach den Absätzen 1 bis 3 Verpflichteten haben die Anforderungen der Technischen Richtlinie spätestens ein Jahr nach deren Bekanntmachung zu erfüllen, sofern in der Technischen Richtlinie für bestimmte Verpflichtungen kein anderer Übergangszeitraum festgelegt ist.</w:t>
      </w:r>
    </w:p>
    <w:p>
      <w:r>
        <w:t xml:space="preserve">(6) Notwendige Aufwendungen, die den Betreibern öffentlicher Mobilfunknetze durch die Umsetzung der Anforderungen aus Absatz 1 entstehen, sind auf Antrag zu ersetzen. Für die Bemessung des Aufwendungsersatzes sind die tatsächlich entstandenen Kosten der Verpflichteten maßgebend. Über die Anträge auf Aufwendungsersatz entscheidet die Bundesnetzagentur. Die durch die Aussendung der Warnungen nach Absatz 2 entstehenden Kosten trägt jeder Betreiber selbst. Die für das Versenden von Informationen anfallenden Kosten nach Absatz 3 trägt jeder Anbieter selbst.</w:t>
      </w:r>
    </w:p>
    <w:p>
      <w:r>
        <w:rPr>
          <w:color w:val="555555"/>
          <w:sz w:val="17"/>
        </w:rPr>
        <w:t xml:space="preserve">Zitiervorschlag: § 164a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https://recht.nulegal.eu/gesetze/TKG%202021/164a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