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TKG 2021 — Notruf</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Wer öffentlich zugängliche nummerngebundene interpersonelle Telekommunikationsdienste für das Führen von ausgehenden Gesprächen zu einer oder mehreren Nummern des nationalen oder internationalen Nummernplans erbringt, hat Vorkehrungen zu treffen, damit Endnutzern unentgeltliche Verbindungen möglich sind, die entweder durch die Wahl der europaeinheitlichen Notrufnummer 112 oder der zusätzlichen nationalen Notrufnummer 110 oder durch das Aussenden entsprechender Signalisierungen eingeleitet werden (Notrufverbindungen). Wer derartige öffentlich zugängliche nummerngebundene interpersonelle Telekommunikationsdienste erbringt, den Zugang zu solchen Diensten ermöglicht oder Telekommunikationsnetze betreibt, die für diese Dienste einschließlich der Durchleitung von Anrufen genutzt werden, hat sicherzustellen oder im notwendigen Umfang daran mitzuwirken, dass Notrufverbindungen jederzeit unverzüglich zu der örtlich zuständigen Notrufabfragestelle hergestellt werden. Die nach den Sätzen 1 und 2 Verpflichteten haben sicherzustellen, dass der Notrufabfragestelle auch Folgendes mit der Notrufverbindung übermittelt wird:</w:t>
      </w:r>
    </w:p>
    <w:p>
      <w:pPr>
        <w:ind w:left="420"/>
      </w:pPr>
      <w:r>
        <w:t xml:space="preserve">1. die Rufnummer des Anschlusses, von dem die Notrufverbindung ausgeht, und</w:t>
      </w:r>
    </w:p>
    <w:p>
      <w:pPr>
        <w:ind w:left="420"/>
      </w:pPr>
      <w:r>
        <w:t xml:space="preserve">2. die Daten, die zur Ermittlung des Standortes erforderlich sind, von dem die Notrufverbindung ausgeht.</w:t>
      </w:r>
    </w:p>
    <w:p>
      <w:r>
        <w:t xml:space="preserve">Notrufverbindungen sind vorrangig vor anderen Verbindungen herzustellen; sie stehen vorrangigen Verbindungen nach § 186 Absatz 2 Satz 1 gleich. Daten, die nach Maßgabe der Rechtsverordnung nach Absatz 5 zur Verfolgung von Missbrauch des Notrufs erforderlich sind, dürfen auch verzögert an die Notrufabfragestelle übermittelt werden. Die Übermittlung der Daten nach den Sätzen 3 und 5 erfolgt unentgeltlich. Die für Notrufverbindungen entstehenden Kosten trägt jeder Anbieter eines Telekommunikationsdienstes selbst; die Entgeltlichkeit von Vorleistungen bleibt unberührt.</w:t>
      </w:r>
    </w:p>
    <w:p>
      <w:r>
        <w:t xml:space="preserve">(2) Im Hinblick auf Notrufverbindungen, die unter Verwendung eines Telefaxgerätes eingeleitet werden, gilt Absatz 1 entsprechend.</w:t>
      </w:r>
    </w:p>
    <w:p>
      <w:r>
        <w:t xml:space="preserve">(3) Zur Gewährleistung einer gleichwertigen Notrufkommunikation von Menschen mit Behinderungen ist sicherzustellen, dass bei Nutzung eines Vermittlungsdienstes nach § 51 Absatz 4 unentgeltliche Notrufverbindungen möglich sind. Soweit technisch möglich, gelten die Anforderungen des Absatzes 1 Satz 3 und 6 entsprechend.</w:t>
      </w:r>
    </w:p>
    <w:p>
      <w:r>
        <w:t xml:space="preserve">(4) Anbieter nummernunabhängiger interpersoneller Telekommunikationsdienste, die eine direkte Kommunikation zu der örtlich zuständigen Notrufabfragestelle ermöglichen, haben sicherzustellen, dass die zur Ermittlung des Standortes erforderlichen Daten übermittelt werden. Die für diese Notrufverbindungen entstehenden Kosten trägt jeder Anbieter eines Telekommunikationsdienstes selbst; die Entgeltlichkeit von Vorleistungen bleibt unberührt.</w:t>
      </w:r>
    </w:p>
    <w:p>
      <w:r>
        <w:t xml:space="preserve">(5) Das Bundesministerium für Digitales und Staatsmodernisierung wird ermächtigt, im Einvernehmen mit dem Bundesministerium des Innern und dem Bundesministerium für Arbeit und Soziales durch Rechtsverordnung mit Zustimmung des Bundesrates Regelungen zu treffen</w:t>
      </w:r>
    </w:p>
    <w:p>
      <w:pPr>
        <w:ind w:left="420"/>
      </w:pPr>
      <w:r>
        <w:t xml:space="preserve">1. zu den Grundsätzen der Festlegung von Einzugsgebieten von Notrufabfragestellen und deren Unterteilungen durch die für den Notruf zuständigen Landes- und Kommunalbehörden sowie zu den Grundsätzen des Abstimmungsverfahrens zwischen diesen Behörden und den betroffenen Netzbetreibern, soweit diese Grundsätze für die Herstellung von Notrufverbindungen erforderlich sind,</w:t>
      </w:r>
    </w:p>
    <w:p>
      <w:pPr>
        <w:ind w:left="420"/>
      </w:pPr>
      <w:r>
        <w:t xml:space="preserve">2. zur Herstellung von Notrufverbindungen zur jeweils örtlich zuständigen Notrufabfragestelle oder Ersatznotrufabfragestelle,</w:t>
      </w:r>
    </w:p>
    <w:p>
      <w:pPr>
        <w:ind w:left="420"/>
      </w:pPr>
      <w:r>
        <w:t xml:space="preserve">3. zum Umfang der für Notrufverbindungen zu erbringenden Leistungsmerkmale, einschließlich</w:t>
      </w:r>
    </w:p>
    <w:p>
      <w:pPr>
        <w:ind w:left="780"/>
      </w:pPr>
      <w:r>
        <w:t xml:space="preserve">a) der Übermittlung der Daten nach Absatz 1 Satz 3 und</w:t>
      </w:r>
    </w:p>
    <w:p>
      <w:pPr>
        <w:ind w:left="780"/>
      </w:pPr>
      <w:r>
        <w:t xml:space="preserve">b) zulässiger Abweichungen hinsichtlich der nach Absatz 1 Satz 3 Nummer 1 zu übermittelnden Daten in unausweichlichen technisch bedingten Sonderfällen,</w:t>
      </w:r>
    </w:p>
    <w:p>
      <w:pPr>
        <w:ind w:left="420"/>
      </w:pPr>
      <w:r>
        <w:t xml:space="preserve">4. zur Bereitstellung und Übermittlung von Daten, die geeignet sind, der Notrufabfragestelle die Verfolgung von Missbrauch des Notrufs zu ermöglichen,</w:t>
      </w:r>
    </w:p>
    <w:p>
      <w:pPr>
        <w:ind w:left="420"/>
      </w:pPr>
      <w:r>
        <w:t xml:space="preserve">5. zum Herstellen von Notrufverbindungen mittels automatischer Verfahren,</w:t>
      </w:r>
    </w:p>
    <w:p>
      <w:pPr>
        <w:ind w:left="420"/>
      </w:pPr>
      <w:r>
        <w:t xml:space="preserve">6. zur Sicherstellung der Gleichwertigkeit der Notrufkommunikation für Menschen mit Behinderungen und</w:t>
      </w:r>
    </w:p>
    <w:p>
      <w:pPr>
        <w:ind w:left="420"/>
      </w:pPr>
      <w:r>
        <w:t xml:space="preserve">7. zu den Aufgaben der Bundesnetzagentur auf den in den Nummern 1 bis 6 aufgeführten Gebieten, insbesondere im Hinblick auf die Festlegung von Kriterien für die Genauigkeit und Zuverlässigkeit der Daten, die zur Ermittlung des Standortes erforderlich sind, von dem die Notrufverbindung ausgeht.</w:t>
      </w:r>
    </w:p>
    <w:p>
      <w:r>
        <w:t xml:space="preserve">Landesrechtliche Regelungen über Notrufabfragestellen, die nicht Verpflichtungen im Sinne der Absätze 1 bis 4 betreffen, bleiben von den Vorschriften dieses Absatzes unberührt.</w:t>
      </w:r>
    </w:p>
    <w:p>
      <w:r>
        <w:t xml:space="preserve">(6) Die technischen Einzelheiten zu den in Absatz 5 Satz 1 Nummer 1 bis 6 aufgeführten Regelungsgegenständen, insbesondere die Kriterien für die Genauigkeit und Zuverlässigkeit der Angaben zu dem Standort, von dem die Notrufverbindung ausgeht, legt die Bundesnetzagentur in einer Technischen Richtlinie fest; dabei berücksichtigt sie die Vorschriften der Rechtsverordnung nach Absatz 5. Die Bundesnetzagentur erstellt die Technische Richtlinie unter Beteiligung</w:t>
      </w:r>
    </w:p>
    <w:p>
      <w:pPr>
        <w:ind w:left="420"/>
      </w:pPr>
      <w:r>
        <w:t xml:space="preserve">1. der Verbände der durch die Absätze 1 bis 4 betroffenen Anbieter von Telekommunikationsdiensten und Betreiber von Telekommunikationsnetzen,</w:t>
      </w:r>
    </w:p>
    <w:p>
      <w:pPr>
        <w:ind w:left="420"/>
      </w:pPr>
      <w:r>
        <w:t xml:space="preserve">2. der vom Bundesministerium des Innern benannten Vertreter der Betreiber von Notrufabfragestellen und</w:t>
      </w:r>
    </w:p>
    <w:p>
      <w:pPr>
        <w:ind w:left="420"/>
      </w:pPr>
      <w:r>
        <w:t xml:space="preserve">3. der Hersteller der in den Telekommunikationsnetzen und Notrufabfragestellen eingesetzten technischen Einrichtungen.</w:t>
      </w:r>
    </w:p>
    <w:p>
      <w:r>
        <w:t xml:space="preserve">Bei den Festlegungen in der Technischen Richtlinie sind internationale Standards zu berücksichtigen; Abweichungen von den Standards sind zu begründen. Die Verpflichteten nach den Absätzen 1 bis 4 haben die Anforderungen der Technischen Richtlinie spätestens ein Jahr nach deren Bekanntmachung zu erfüllen, sofern in der Technischen Richtlinie für bestimmte Verpflichtungen kein längerer Übergangszeitraum festgelegt ist. Nach dieser Technischen Richtlinie gestaltete mängelfreie technische Einrichtungen müssen im Falle einer Änderung der Technischen Richtlinie spätestens drei Jahre nach deren Inkrafttreten die geänderten Anforderungen erfüllen.</w:t>
      </w:r>
    </w:p>
    <w:p>
      <w:r>
        <w:rPr>
          <w:color w:val="555555"/>
          <w:sz w:val="17"/>
        </w:rPr>
        <w:t xml:space="preserve">Zitiervorschlag: § 164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