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TKG 2021 — Feststellung der Unterversorgung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Stellt die Bundesnetzagentur im Rahmen ihrer Überwachung gemäß § 157 Absatz 1 und § 158 Absatz 2 fest, dass einer der nachfolgenden Umstände vorliegt, so veröffentlicht sie innerhalb von zwei Monaten nach erstmaliger Kenntniserlangung diese Feststellung:</w:t>
      </w:r>
    </w:p>
    <w:p>
      <w:pPr>
        <w:ind w:left="420"/>
      </w:pPr>
      <w:r>
        <w:t xml:space="preserve">1. eine Versorgung mit Telekommunikationsdiensten nach § 157 Absatz 2 wird weder aktuell noch in objektiv absehbarer Zeit angemessen, ausreichend oder nach § 158 Absatz 1 zu einem erschwinglichen Endnutzerpreis erbracht,</w:t>
      </w:r>
    </w:p>
    <w:p>
      <w:pPr>
        <w:ind w:left="420"/>
      </w:pPr>
      <w:r>
        <w:t xml:space="preserve">2. es ist zu besorgen, dass eine Versorgung mit Telekommunikationsdiensten nach § 157 Absatz 2 zukünftig nicht mehr gewährleistet sein wird.</w:t>
      </w:r>
    </w:p>
    <w:p>
      <w:r>
        <w:t xml:space="preserve">Die Bundenetzagentur kann die ihr gesetzte Frist für die Veröffentlichung der Unterversorgungsfeststellung nach Satz 1 bei außergewöhnlichen Umständen um bis zu einen Monat überschreiten. Die Umstände sind hinreichend zu begründen.</w:t>
      </w:r>
    </w:p>
    <w:p>
      <w:r>
        <w:t xml:space="preserve">(2) Stellt die Bundesnetzagentur im Rahmen ihrer Feststellung nach Absatz 1 in dem von der Feststellung umfassten Gebiet einen tatsächlichen Bedarf für eine Versorgung mit den nach § 157 Absatz 2 mindestens verfügbaren Telekommunikationsdiensten fest, kündigt sie mit der Veröffentlichung der Unterversorgungsfeststellung an, nach den Vorschriften des § 161 Absatz 2 vorzugehen, sofern kein Unternehmen innerhalb eines Monats nach Veröffentlichung der Unterversorgungsfeststellung schriftlich oder elektronisch gegenüber der Bundesnetzagentur zusagt, sich zur Versorgung mit Telekommunikationsdiensten nach § 157 Absatz 2 und § 158 Absatz 1 ohne Ausgleich nach § 162 zu verpflichten.</w:t>
      </w:r>
    </w:p>
    <w:p>
      <w:r>
        <w:rPr>
          <w:color w:val="555555"/>
          <w:sz w:val="17"/>
        </w:rPr>
        <w:t xml:space="preserve">Zitiervorschlag: § 160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