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146 TKG 2021 — Mitverlegung, Sicherstellung und Betrieb der Infrastruktur für Netze mit sehr hoher Kapazität</w:t>
      </w:r>
    </w:p>
    <w:p>
      <w:r>
        <w:rPr>
          <w:color w:val="555555"/>
          <w:sz w:val="18"/>
        </w:rPr>
        <w:t xml:space="preserve">Telekommunikationsgesetz</w:t>
      </w:r>
    </w:p>
    <w:p>
      <w:r>
        <w:rPr>
          <w:color w:val="555555"/>
          <w:sz w:val="18"/>
        </w:rPr>
        <w:t xml:space="preserve">Stand: 01.12.2021 (konsolidierte Textfassung, kein amtliches Inkrafttretensdatum)</w:t>
      </w:r>
    </w:p>
    <w:p>
      <w:r>
        <w:t xml:space="preserve">(1) Eigentümer oder Betreiber öffentlicher Versorgungsnetze können im Rahmen von Bauarbeiten passive Netzinfrastrukturen für ein Netz mit sehr hoher Kapazität mitverlegen, um eine Mitnutzung im Sinne dieses Abschnitts oder den Betrieb eines Netzes mit sehr hoher Kapazität zu ermöglichen.</w:t>
      </w:r>
    </w:p>
    <w:p>
      <w:r>
        <w:t xml:space="preserve">(2) Im Rahmen von ganz oder teilweise aus öffentlichen Mitteln finanzierten Bauarbeiten für die Bereitstellung von Verkehrsdiensten, deren anfänglich geplante Dauer acht Wochen überschreitet, ist sicherzustellen, dass geeignete passive Netzinfrastrukturen für ein Netz mit sehr hoher Kapazität bedarfsgerecht mitverlegt werden, um den Betrieb eines Netzes mit sehr hoher Kapazität durch Betreiber öffentlicher Telekommunikationsnetze zu ermöglichen. Im Rahmen der Erschließung von Neubaugebieten ist stets sicherzustellen, dass geeignete passive Netzinfrastrukturen für ein Netz mit sehr hoher Kapazität mitverlegt werden.</w:t>
      </w:r>
    </w:p>
    <w:p>
      <w:r>
        <w:t xml:space="preserve">(3) Betreiber öffentlicher Telekommunikationsnetze haben dem nach Absatz 2 Verpflichteten auf Anfrage innerhalb von zwei Monaten Auskunft über die wesentlichen Bedingungen eines Betriebs einer nach Absatz 2 zu verlegenden oder bereits verlegten Infrastruktur zu geben. Dazu gehören insbesondere die Modalitäten eines Anschlusses der Infrastruktur an das eigene öffentliche Telekommunikationsnetz einschließlich der relevanten Übergabepunkte.</w:t>
      </w:r>
    </w:p>
    <w:p>
      <w:r>
        <w:rPr>
          <w:color w:val="555555"/>
          <w:sz w:val="17"/>
        </w:rPr>
        <w:t xml:space="preserve">Zitiervorschlag: § 146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https://recht.nulegal.eu/gesetze/TKG%202021/146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