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TKG 2021 — Preisangabe</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Wer gegenüber Endnutzern</w:t>
      </w:r>
    </w:p>
    <w:p>
      <w:pPr>
        <w:ind w:left="420"/>
      </w:pPr>
      <w:r>
        <w:t xml:space="preserve">1. Premium-Dienste,</w:t>
      </w:r>
    </w:p>
    <w:p>
      <w:pPr>
        <w:ind w:left="420"/>
      </w:pPr>
      <w:r>
        <w:t xml:space="preserve">2. Auskunftsdienste,</w:t>
      </w:r>
    </w:p>
    <w:p>
      <w:pPr>
        <w:ind w:left="420"/>
      </w:pPr>
      <w:r>
        <w:t xml:space="preserve">3. Massenverkehrsdienste,</w:t>
      </w:r>
    </w:p>
    <w:p>
      <w:pPr>
        <w:ind w:left="420"/>
      </w:pPr>
      <w:r>
        <w:t xml:space="preserve">4. Service-Dienste,</w:t>
      </w:r>
    </w:p>
    <w:p>
      <w:pPr>
        <w:ind w:left="420"/>
      </w:pPr>
      <w:r>
        <w:t xml:space="preserve">5. Kurzwahldienste oder</w:t>
      </w:r>
    </w:p>
    <w:p>
      <w:pPr>
        <w:ind w:left="420"/>
      </w:pPr>
      <w:r>
        <w:t xml:space="preserve">6. Dienste über Nationale Teilnehmerrufnummern</w:t>
      </w:r>
    </w:p>
    <w:p>
      <w:r>
        <w:t xml:space="preserve">anbietet oder dafür wirbt, hat dabei den für die Inanspruchnahme des Dienstes zu zahlenden Höchstpreis nach § 112 Absatz 1 bis 5 oder 6 Satz 4 zeitabhängig je Minute oder zeitunabhängig je Inanspruchnahme einschließlich der Umsatzsteuer und sonstiger Preisbestandteile anzugeben. Bei nach § 123 Absatz 7 Satz 1 festgelegten Preisen ist dieser Preis anzugeben. Besteht einheitlich netzübergreifend bei sämtlichen Anbietern ein niedrigerer Preis als der Höchstpreis, darf auch dieser angegeben werden.</w:t>
      </w:r>
    </w:p>
    <w:p>
      <w:r>
        <w:t xml:space="preserve">(2) Der Preis ist gut lesbar, deutlich sichtbar und in unmittelbarem Zusammenhang mit der Rufnummer anzugeben. Die Preisangabe hat nach Möglichkeit barrierefrei zu erfolgen. Bei Anzeige der Rufnummer darf die Preisangabe nicht zeitlich kürzer als die Rufnummer angezeigt werden. Auf den Abschluss eines Dauerschuldverhältnisses ist hinzuweisen.</w:t>
      </w:r>
    </w:p>
    <w:p>
      <w:r>
        <w:t xml:space="preserve">(3) Bei Telefax-Diensten ist zusätzlich die Anzahl der zu übermittelnden Seiten anzugeben.</w:t>
      </w:r>
    </w:p>
    <w:p>
      <w:r>
        <w:rPr>
          <w:color w:val="555555"/>
          <w:sz w:val="17"/>
        </w:rPr>
        <w:t xml:space="preserve">Zitiervorschlag: § 109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