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TKG 2021 — Förderung des Wettbewerbs</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Bei der Zuteilung von Frequenzen für Telekommunikationsnetze und -dienste gemäß diesem Gesetz sowie der Änderung oder Verlängerung von Zuteilungen solcher Frequenzen fördert die Bundesnetzagentur einen wirksamen Wettbewerb und vermeidet Wettbewerbsverfälschungen im Binnenmarkt.</w:t>
      </w:r>
    </w:p>
    <w:p>
      <w:r>
        <w:t xml:space="preserve">(2) Zur Erreichung der in Absatz 1 genannten Ziele kann die Bundesnetzagentur geeignete Maßnahmen ergreifen. Diese umfassen unter anderem</w:t>
      </w:r>
    </w:p>
    <w:p>
      <w:pPr>
        <w:ind w:left="420"/>
      </w:pPr>
      <w:r>
        <w:t xml:space="preserve">1. die Begrenzung der Menge an Frequenzen, die einem Unternehmen zugeteilt werden, oder, wenn die Umstände dies rechtfertigen, die Verknüpfung der Frequenznutzungsrechte mit Bedingungen, beispielsweise mit der Gewährung des Vorleistungszugangs und mit nationalem oder regionalem Roaming in bestimmten Frequenzbereichen oder in Gruppen von Frequenzbereichen mit ähnlichen Merkmalen,</w:t>
      </w:r>
    </w:p>
    <w:p>
      <w:pPr>
        <w:ind w:left="420"/>
      </w:pPr>
      <w:r>
        <w:t xml:space="preserve">2. die Reservierung eines bestimmten Abschnitts eines Frequenzbereichs oder einer Gruppe von Frequenzbereichen für neue Marktteilnehmer, wenn dies angesichts der besonderen Lage auf dem nationalen Markt angemessen und gerechtfertigt ist,</w:t>
      </w:r>
    </w:p>
    <w:p>
      <w:pPr>
        <w:ind w:left="420"/>
      </w:pPr>
      <w:r>
        <w:t xml:space="preserve">3. die Verweigerung neuer Zuteilungen oder der Genehmigung neuer Frequenznutzungsarten in bestimmten Bereichen oder das Verknüpfen neuer Nutzungsrechte oder neuer Frequenznutzungsarten mit bestimmten Bedingungen, um Wettbewerbsverzerrungen durch Zuteilung, Übertragung oder Anhäufung von Nutzungsrechten zu verhindern,</w:t>
      </w:r>
    </w:p>
    <w:p>
      <w:pPr>
        <w:ind w:left="420"/>
      </w:pPr>
      <w:r>
        <w:t xml:space="preserve">4. die Aufnahme von Bedingungen für eine Untersagung der Übertragung von Zuteilungen oder die Auferlegung von Bedingungen für die Übertragung von Zuteilungen, die nicht unionsweit oder bundesweit der Fusionskontrolle unterliegen, wenn es wahrscheinlich ist, dass der Wettbewerb durch die Übertragung in beträchtlicher Weise beeinträchtigt würde, oder</w:t>
      </w:r>
    </w:p>
    <w:p>
      <w:pPr>
        <w:ind w:left="420"/>
      </w:pPr>
      <w:r>
        <w:t xml:space="preserve">5. die Änderung bestehender Rechte im Einklang mit diesem Gesetz, wenn dies erforderlich ist, um Wettbewerbsverzerrungen infolge der Übertragung oder Anhäufung von Zuteilungen nachträglich zu beseitigen.</w:t>
      </w:r>
    </w:p>
    <w:p>
      <w:r>
        <w:t xml:space="preserve">Bei ihren Entscheidungen stützt sich die Bundesnetzagentur unter Berücksichtigung der Marktbedingungen und der verfügbaren Vergleichsgrößen auf eine objektive, vorausschauende Beurteilung der Wettbewerbsverhältnisse, der Frage, ob solche Maßnahmen zur Erhaltung oder Erreichung eines wirksamen Wettbewerbs erforderlich sind, und der voraussichtlichen Auswirkungen solcher Maßnahmen auf bestehende oder künftige Investitionen der Marktteilnehmer insbesondere in den Netzausbau. Bei der Beurteilung berücksichtigt die Bundesnetzagentur den in § 11 Absatz 3 beschriebenen Ansatz zur Durchführung von Marktanalysen. Sie kann hierzu allgemeine Verwaltungsvorschriften erlassen.</w:t>
      </w:r>
    </w:p>
    <w:p>
      <w:r>
        <w:t xml:space="preserve">(3) Bevor die Bundesnetzagentur Maßnahmen nach Absatz 2 ergreift, gibt sie interessierten Kreisen Gelegenheit zur Stellungnahme zum Entwurf der Maßnahmen innerhalb einer angemessenen Frist. Die Frist muss der Komplexität des Sachverhalts entsprechen und mindestens einen Monat betragen. Bei außergewöhnlichen Umständen kann eine kürzere Frist gesetzt werden. § 99 Absatz 3 bleibt unberührt. Die Ergebnisse der Anhörung sowie die Maßnahmen sind zu veröffentlichen. Bei der Anwendung des Absatzes 2 handelt die Bundesnetzagentur im Übrigen nach dem in § 107 genannten Verfahren.</w:t>
      </w:r>
    </w:p>
    <w:p>
      <w:r>
        <w:rPr>
          <w:color w:val="555555"/>
          <w:sz w:val="17"/>
        </w:rPr>
        <w:t xml:space="preserve">Zitiervorschlag: § 105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