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101 TKG 2021 — Flexibilisierung der Frequenznutzung</w:t>
      </w:r>
    </w:p>
    <w:p>
      <w:r>
        <w:rPr>
          <w:color w:val="555555"/>
          <w:sz w:val="18"/>
        </w:rPr>
        <w:t xml:space="preserve">Telekommunikationsgesetz</w:t>
      </w:r>
    </w:p>
    <w:p>
      <w:r>
        <w:rPr>
          <w:color w:val="555555"/>
          <w:sz w:val="18"/>
        </w:rPr>
        <w:t xml:space="preserve">Stand: 01.12.2021 (konsolidierte Textfassung, kein amtliches Inkrafttretensdatum)</w:t>
      </w:r>
    </w:p>
    <w:p>
      <w:r>
        <w:t xml:space="preserve">(1) Die Bundesnetzagentur kann Frequenzbereiche bestimmen, in denen sie Frequenznutzungsrechte zum Handel, zur Vermietung oder zur kooperativen, gemeinsamen Nutzung (Frequenzpooling) freigibt, um flexible Frequenznutzungen zu ermöglichen. Die betroffenen Kreise sind vor der Freigabeentscheidung anzuhören.</w:t>
      </w:r>
    </w:p>
    <w:p>
      <w:r>
        <w:t xml:space="preserve">(2) Sofern die Bundesnetzagentur eine Freigabeentscheidung nach Absatz 1 Satz 1 trifft, legt sie zeitgleich die Rahmenbedingungen und das Verfahren für den Handel, die Vermietung und das Frequenzpooling fest. Die Rahmenbedingungen und das Verfahren haben insbesondere sicherzustellen, dass</w:t>
      </w:r>
    </w:p>
    <w:p>
      <w:pPr>
        <w:ind w:left="420"/>
      </w:pPr>
      <w:r>
        <w:t xml:space="preserve">1. die Effizienz der Frequenznutzung gesteigert oder gewahrt wird,</w:t>
      </w:r>
    </w:p>
    <w:p>
      <w:pPr>
        <w:ind w:left="420"/>
      </w:pPr>
      <w:r>
        <w:t xml:space="preserve">2. das ursprüngliche Vergabeverfahren einer Frequenzzuteilung nicht entgegensteht,</w:t>
      </w:r>
    </w:p>
    <w:p>
      <w:pPr>
        <w:ind w:left="420"/>
      </w:pPr>
      <w:r>
        <w:t xml:space="preserve">3. keine Verzerrung des Wettbewerbs zu besorgen ist,</w:t>
      </w:r>
    </w:p>
    <w:p>
      <w:pPr>
        <w:ind w:left="420"/>
      </w:pPr>
      <w:r>
        <w:t xml:space="preserve">4. die sonstigen rechtlichen Rahmenbedingungen, insbesondere die Nutzungsbestimmungen und internationale Vereinbarungen zur Frequenznutzung, eingehalten werden und</w:t>
      </w:r>
    </w:p>
    <w:p>
      <w:pPr>
        <w:ind w:left="420"/>
      </w:pPr>
      <w:r>
        <w:t xml:space="preserve">5. die Regulierungsziele nach den §§ 2 und 87 sichergestellt sind.</w:t>
      </w:r>
    </w:p>
    <w:p>
      <w:r>
        <w:t xml:space="preserve">Die Bundesnetzagentur veröffentlicht die Entscheidung über die Rahmenbedingungen und das Verfahren. Die Entscheidung erfolgt im Einvernehmen mit der nach Landesrecht zuständigen Stelle, soweit Frequenzen betroffen sind, die für Rundfunkdienste vorgesehen sind.</w:t>
      </w:r>
    </w:p>
    <w:p>
      <w:r>
        <w:t xml:space="preserve">(3) Erlöse, die aus Maßnahmen nach Absatz 1 erzielt werden, stehen abzüglich der Verwaltungskosten demjenigen zu, der seine Frequenznutzungsrechte Dritten überträgt oder zur Nutzung oder Mitbenutzung überlässt.</w:t>
      </w:r>
    </w:p>
    <w:p>
      <w:r>
        <w:t xml:space="preserve">(4) Inhaber von Frequenznutzungsrechten informieren die Bundesnetzagentur über ihre Absicht, Frequenznutzungsrechte zu übertragen oder zu vermieten, sowie über die Übertragung oder Vermietung von Frequenznutzungsrechten. Die Bundesnetzagentur veröffentlicht diese Informationen.</w:t>
      </w:r>
    </w:p>
    <w:p>
      <w:r>
        <w:rPr>
          <w:color w:val="555555"/>
          <w:sz w:val="17"/>
        </w:rPr>
        <w:t xml:space="preserve">Zitiervorschlag: § 101 TKG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https://recht.nulegal.eu/gesetze/TKG%202021/101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