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TKG 2004 — Grundsatz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(1) Der Marktregulierung nach den Vorschriften dieses Teils unterliegen Märkte, auf denen die Voraussetzungen des § 10 vorliegen und für die eine Marktanalyse nach § 11 ergeben hat, dass kein wirksamer Wettbewerb vorliegt.</w:t>
      </w:r>
    </w:p>
    <w:p>
      <w:r>
        <w:t xml:space="preserve">(2) Unternehmen, die auf Märkten im Sinne des § 11 über beträchtliche Marktmacht verfügen, werden durch die Bundesnetzagentur Maßnahmen nach diesem Teil auferlegt.</w:t>
      </w:r>
    </w:p>
    <w:p>
      <w:r>
        <w:t xml:space="preserve">(3) § 18 bleibt unberührt.</w:t>
      </w:r>
    </w:p>
    <w:p>
      <w:r>
        <w:rPr>
          <w:color w:val="555555"/>
          <w:sz w:val="17"/>
        </w:rPr>
        <w:t xml:space="preserve">Zitiervorschlag: § 9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