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TKG 2004 — Universaldienstleistungen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Universaldienstleistungen sind ein Mindestangebot an Diensten für die Öffentlichkeit, für die eine bestimmte Qualität festgelegt ist und zu denen alle Endnutzer unabhängig von ihrem Wohn- oder Geschäftsort zu einem erschwinglichen Preis Zugang haben müssen und deren Erbringung für die Öffentlichkeit als Grundversorgung unabdingbar geworden ist.</w:t>
      </w:r>
    </w:p>
    <w:p>
      <w:r>
        <w:t xml:space="preserve">(2) Als Universaldienstleistungen werden bestimmt:</w:t>
      </w:r>
    </w:p>
    <w:p>
      <w:pPr>
        <w:ind w:left="420"/>
      </w:pPr>
      <w:r>
        <w:t xml:space="preserve">1. der Anschluss an ein öffentliches Telekommunikationsnetz an einem festen Standort, der Gespräche, Telefaxübertragungen und die Datenkommunikation mit Übertragungsraten ermöglicht, die für einen funktionalen Internetzugang ausreichen,</w:t>
      </w:r>
    </w:p>
    <w:p>
      <w:pPr>
        <w:ind w:left="420"/>
      </w:pPr>
      <w:r>
        <w:t xml:space="preserve">2. der Zugang zu öffentlich zugänglichen Telefondiensten über den in Nummer 1 genannten Netzanschluss,</w:t>
      </w:r>
    </w:p>
    <w:p>
      <w:pPr>
        <w:ind w:left="420"/>
      </w:pPr>
      <w:r>
        <w:t xml:space="preserve">3. die Verfügbarkeit mindestens eines von der Bundesnetzagentur gebilligten gedruckten öffentlichen Teilnehmerverzeichnisses (§ 104), das dem allgemeinen Bedarf entspricht und regelmäßig mindestens einmal jährlich aktualisiert wird,</w:t>
      </w:r>
    </w:p>
    <w:p>
      <w:pPr>
        <w:ind w:left="420"/>
      </w:pPr>
      <w:r>
        <w:t xml:space="preserve">4. die Verfügbarkeit mindestens eines umfassenden, öffentlichen Telefonauskunftsdienstes, auch für Nutzer öffentlicher Münz- und Kartentelefone, einschließlich der Netzkennzahlen von Teilnehmern und ausländischer Anschlussinhaber, soweit die Teilnehmerdaten zur Verfügung stehen und unter Berücksichtigung datenschutzrechtlicher Vorschriften,</w:t>
      </w:r>
    </w:p>
    <w:p>
      <w:pPr>
        <w:ind w:left="420"/>
      </w:pPr>
      <w:r>
        <w:t xml:space="preserve">5. die flächendeckende Bereitstellung von öffentlichen Münz- oder Kartentelefonen oder anderer Zugangspunkte für den öffentlichen Sprachtelefondienst an allgemeinen und jederzeit für jedermann zugänglichen Standorten entsprechend dem allgemeinen Bedarf; die öffentlichen Telefonstellen sind in betriebsbereitem Zustand zu halten, und</w:t>
      </w:r>
    </w:p>
    <w:p>
      <w:pPr>
        <w:ind w:left="420"/>
      </w:pPr>
      <w:r>
        <w:t xml:space="preserve">6. die Möglichkeit, von allen öffentlichen Münz- oder Kartentelefonen unentgeltlich und ohne Verwendung eines Zahlungsmittels Notrufe durch einfache Handhabung mit den Notrufnummern 110 und 112 durchzuführen.</w:t>
      </w:r>
    </w:p>
    <w:p>
      <w:r>
        <w:t xml:space="preserve">(3) Unternehmen, die Universaldienstleistungen nach Absatz 2 Nr. 2 und 3 erbringen, haben bei der Verarbeitung der ihnen von anderen Unternehmen bereitgestellten Informationen den Grundsatz der Nichtdiskriminierung zu beachten.</w:t>
      </w:r>
    </w:p>
    <w:p>
      <w:r>
        <w:t xml:space="preserve">(4) Nach Anhörung des Universaldienstverpflichteten kann die Bundesnetzagentur den allgemeinen Bedarf der Universaldienstleistungen nach Absatz 2 hinsichtlich der Bedürfnisse der Endnutzer feststellen, insbesondere hinsichtlich der geographischen Versorgung, der Zahl der Telefone, der Zugänglichkeit und der Dienstequalität. Zur Sicherstellung des Dienstes sowie der Dienstemerkmale ist die Bundesnetzagentur befugt, den Unternehmen Verpflichtungen aufzuerlegen. Die Bundesnetzagentur kann von solchen Verpflichtungen für Teile oder das gesamte Hoheitsgebiet absehen, wenn eine Anhörung der betroffenen Kreise ergibt, dass diese Dienstemerkmale oder vergleichbare Dienste als weithin verfügbar erachtet werden.</w:t>
      </w:r>
    </w:p>
    <w:p>
      <w:r>
        <w:rPr>
          <w:color w:val="555555"/>
          <w:sz w:val="17"/>
        </w:rPr>
        <w:t xml:space="preserve">Zitiervorschlag: § 78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