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77 TKG 2004 — Ersatzansprüche</w:t>
      </w:r>
    </w:p>
    <w:p>
      <w:r>
        <w:rPr>
          <w:color w:val="555555"/>
          <w:sz w:val="18"/>
        </w:rPr>
        <w:t xml:space="preserve">Telekommunikationsgesetz</w:t>
      </w:r>
    </w:p>
    <w:p>
      <w:r>
        <w:rPr>
          <w:color w:val="555555"/>
          <w:sz w:val="18"/>
        </w:rPr>
        <w:t xml:space="preserve">Historische Fassung: Stand 10.06.2019 bis 01.12.2021. Dies ist nicht die aktuelle Fassung.</w:t>
      </w:r>
    </w:p>
    <w:p>
      <w:r>
        <w:t xml:space="preserve">Die Verjährung der auf den §§ 70 bis 76 beruhenden Ansprüche richtet sich nach den Regelungen über die regelmäßige Verjährung nach dem Bürgerlichen Gesetzbuch.</w:t>
      </w:r>
    </w:p>
    <w:p>
      <w:r>
        <w:rPr>
          <w:color w:val="555555"/>
          <w:sz w:val="17"/>
        </w:rPr>
        <w:t xml:space="preserve">Zitiervorschlag: § 77 TKG 2004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https://recht.nulegal.eu/gesetze/TKG%202004/77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