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TKG 2004 — Schonung der Baumpflanzungen</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Die Baumpflanzungen auf und an den Verkehrswegen sind nach Möglichkeit zu schonen, auf das Wachstum der Bäume ist Rücksicht zu nehmen. Ausästungen können nur insoweit verlangt werden, als sie zur Herstellung der Telekommunikationslinie oder zur Verhütung von Betriebsstörungen erforderlich sind; sie sind auf das unbedingt notwendige Maß zu beschränken.</w:t>
      </w:r>
    </w:p>
    <w:p>
      <w:r>
        <w:t xml:space="preserve">(2) Der Nutzungsberechtigte hat dem Besitzer der Baumpflanzungen eine angemessene Frist zu setzen, innerhalb welcher er die Ausästungen selbst vornehmen kann. Sind die Ausästungen innerhalb der Frist nicht oder nicht genügend vorgenommen, so bewirkt der Nutzungsberechtigte die Ausästungen. Dazu ist er auch berechtigt, wenn es sich um die dringliche Verhütung oder Beseitigung einer Störung handelt.</w:t>
      </w:r>
    </w:p>
    <w:p>
      <w:r>
        <w:t xml:space="preserve">(3) Der Nutzungsberechtigte ersetzt den an den Baumpflanzungen verursachten Schaden und die Kosten der auf sein Verlangen vorgenommenen Ausästungen.</w:t>
      </w:r>
    </w:p>
    <w:p>
      <w:r>
        <w:rPr>
          <w:color w:val="555555"/>
          <w:sz w:val="17"/>
        </w:rPr>
        <w:t xml:space="preserve">Zitiervorschlag: § 73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