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70 TKG 2004 — Mitnutzung und Wegerecht</w:t>
      </w:r>
    </w:p>
    <w:p>
      <w:r>
        <w:rPr>
          <w:color w:val="555555"/>
          <w:sz w:val="18"/>
        </w:rPr>
        <w:t xml:space="preserve">Telekommunikationsgesetz</w:t>
      </w:r>
    </w:p>
    <w:p>
      <w:r>
        <w:rPr>
          <w:color w:val="555555"/>
          <w:sz w:val="18"/>
        </w:rPr>
        <w:t xml:space="preserve">Historische Fassung: Stand 10.06.2019 bis 01.12.2021. Dies ist nicht die aktuelle Fassung.</w:t>
      </w:r>
    </w:p>
    <w:p>
      <w:r>
        <w:t xml:space="preserve">(1) Eigentümer oder Betreiber öffentlicher Versorgungsnetze dürfen ihre passiven Netzinfrastrukturen Eigentümern oder Betreibern öffentlicher Telekommunikationsnetze für den Ausbau digitaler Hochgeschwindigkeitsnetze zur Mitnutzung anbieten. Eigentümer oder Betreiber öffentlicher Telekommunikationsnetze dürfen ihre passiven Netzinfrastrukturen Eigentümern oder Betreibern anderer öffentlicher Versorgungsnetze für deren Netzausbau zur Mitnutzung anbieten.</w:t>
      </w:r>
    </w:p>
    <w:p>
      <w:r>
        <w:t xml:space="preserve">(2) Soweit die Ausübung der Nutzungsberechtigung nach § 68 für die Verlegung weiterer Telekommunikationslinien nicht oder nur mit einem unverhältnismäßig hohen Aufwand möglich ist, können andere passive Netzinfrastrukturen öffentlicher Versorgungsnetzbetreiber unter den Voraussetzungen der §§ 77d, 77e und 77g mitgenutzt werden. Dies gilt unabhängig davon, ob die Telekommunikationslinie zum Aufbau eines digitalen Hochgeschwindigkeitsnetzes genutzt werden kann.</w:t>
      </w:r>
    </w:p>
    <w:p>
      <w:r>
        <w:t xml:space="preserve">(3) Soweit die Nutzungsberechtigung nach § 68 für die Verlegung weiterer Telekommunikationslinien auf die Eisenbahninfrastruktur nicht anwendbar ist und es sich bei der Eisenbahninfrastruktur nicht um eine passive Netzinfrastruktur handelt, können Teile der Eisenbahninfrastruktur nach den §§ 77d, 77e und 77g mitgenutzt werden, soweit sie zum Ausbau von digitalen Hochgeschwindigkeitsnetzen geeignet sind. Die §§ 77a bis 77c gelten entsprechend.</w:t>
      </w:r>
    </w:p>
    <w:p>
      <w:r>
        <w:rPr>
          <w:color w:val="555555"/>
          <w:sz w:val="17"/>
        </w:rPr>
        <w:t xml:space="preserve">Zitiervorschlag: § 70 TKG 2004</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https://recht.nulegal.eu/gesetze/TKG%202004/70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