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TKG 2004 — Grundsatz der Benutzung öffentlicher Wege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Der Bund ist befugt, Verkehrswege für die öffentlichen Zwecken dienenden Telekommunikationslinien unentgeltlich zu benutzen, soweit dadurch nicht der Widmungszweck der Verkehrswege dauernd beschränkt wird (Nutzungsberechtigung). Als Verkehrswege gelten öffentliche Wege, Plätze, Brücken und Tunnel sowie die öffentlichen Gewässer.</w:t>
      </w:r>
    </w:p>
    <w:p>
      <w:r>
        <w:t xml:space="preserve">(2) Telekommunikationslinien sind so zu errichten und zu unterhalten, dass sie den Anforderungen der öffentlichen Sicherheit und Ordnung sowie den anerkannten Regeln der Technik genügen. Beim Träger der Straßenbaulast kann beantragt werden, Glasfaserleitungen oder Leerrohrsysteme, die der Aufnahme von Glasfaserleitungen dienen, in Abweichung der Allgemeinen Technischen Bestimmungen für die Benutzung von Straßen durch Leitungen und Telekommunikationslinien (ATB) in geringerer Verlegetiefe, wie im Wege des Micro- oder Minitrenching, zu verlegen. Dem Antrag ist stattzugeben, wenn</w:t>
      </w:r>
    </w:p>
    <w:p>
      <w:pPr>
        <w:ind w:left="420"/>
      </w:pPr>
      <w:r>
        <w:t xml:space="preserve">1. die Verringerung der Verlegetiefe nicht zu einer wesentlichen Beeinträchtigung des Schutzniveaus und</w:t>
      </w:r>
    </w:p>
    <w:p>
      <w:pPr>
        <w:ind w:left="420"/>
      </w:pPr>
      <w:r>
        <w:t xml:space="preserve">2. nicht zu einer wesentlichen Erhöhung des Erhaltungsaufwandes führt oder</w:t>
      </w:r>
    </w:p>
    <w:p>
      <w:pPr>
        <w:ind w:left="420"/>
      </w:pPr>
      <w:r>
        <w:t xml:space="preserve">3. der Antragsteller die durch eine mögliche wesentliche Beeinträchtigung entstehenden Kosten beziehungsweise den höheren Verwaltungsaufwand übernimmt.</w:t>
      </w:r>
    </w:p>
    <w:p>
      <w:r>
        <w:t xml:space="preserve">Die Sätze 2 und 3 finden keine Anwendung auf die Verlegung von Glasfaserleitungen oder Leerrohrsystemen in Bundesautobahnen und autobahnähnlich ausgebauten Bundesfernstraßen.</w:t>
      </w:r>
    </w:p>
    <w:p>
      <w:r>
        <w:t xml:space="preserve">(3) Für die Verlegung oder die Änderung von Telekommunikationslinien ist die schriftliche oder elektronische Zustimmung des Trägers der Wegebaulast erforderlich. Die Zustimmung gilt nach Ablauf einer Frist von drei Monaten nach Eingang des vollständigen Antrags als erteilt. Die Frist kann um einen Monat verlängert werden, wenn dies wegen der Schwierigkeit der Angelegenheit gerechtfertigt ist. Die Fristverlängerung ist zu begründen und rechtzeitig mitzuteilen. Bei der Verlegung oberirdischer Leitungen sind die Interessen der Wegebaulastträger, der Betreiber öffentlicher Telekommunikationsnetze und die städtebaulichen Belange abzuwägen. In die Abwägung kann zugunsten einer Verlegung oberirdischer Leitungen insbesondere einfließen, dass vereinzelt stehende Gebäude oder Gebäudeansammlungen erschlossen werden sollen. Soweit die Verlegung im Rahmen einer Gesamtbaumaßnahme koordiniert werden kann, die in engem zeitlichen Zusammenhang nach der Antragstellung auf Zustimmung durchgeführt wird, soll die Verlegung in der Regel unterirdisch erfolgen. Die Zustimmung kann mit Nebenbestimmungen versehen werden, die diskriminierungsfrei zu gestalten sind; die Zustimmung kann außerdem von der Leistung einer angemessenen Sicherheit abhängig gemacht werden. Die Nebenbestimmungen dürfen nur die Art und Weise der Errichtung der Telekommunikationslinie sowie die dabei zu beachtenden Regeln der Technik, die Sicherheit und Leichtigkeit des Verkehrs, die im Bereich des jeweiligen Wegebaulastträgers übliche Dokumentation der Lage der Telekommunikationslinie nach geographischen Koordinaten und die Verkehrssicherungspflichten regeln.</w:t>
      </w:r>
    </w:p>
    <w:p>
      <w:r>
        <w:t xml:space="preserve">(4) Ist der Wegebaulastträger selbst Betreiber einer Telekommunikationslinie oder mit einem Betreiber im Sinne des § 37 Abs. 1 oder 2 des Gesetzes gegen Wettbewerbsbeschränkungen zusammengeschlossen, so ist die Zustimmung nach Absatz 3 von einer Verwaltungseinheit zu erteilen, die unabhängig von der für den Betrieb der Telekommunikationslinie bzw. der für die Wahrnehmung der Gesellschaftsrechte zuständigen Verwaltungseinheit ist.</w:t>
      </w:r>
    </w:p>
    <w:p>
      <w:r>
        <w:rPr>
          <w:color w:val="555555"/>
          <w:sz w:val="17"/>
        </w:rPr>
        <w:t xml:space="preserve">Zitiervorschlag: § 68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