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66m TKG 2004 — Umgehungsverbot</w:t>
      </w:r>
    </w:p>
    <w:p>
      <w:r>
        <w:rPr>
          <w:color w:val="555555"/>
          <w:sz w:val="18"/>
        </w:rPr>
        <w:t xml:space="preserve">Telekommunikationsgesetz</w:t>
      </w:r>
    </w:p>
    <w:p>
      <w:r>
        <w:rPr>
          <w:color w:val="555555"/>
          <w:sz w:val="18"/>
        </w:rPr>
        <w:t xml:space="preserve">Historische Fassung: Stand 10.06.2019 bis 01.12.2021. Dies ist nicht die aktuelle Fassung.</w:t>
      </w:r>
    </w:p>
    <w:p>
      <w:r>
        <w:t xml:space="preserve">Die Vorschriften der §§ 66a bis 66l oder die auf Grund des § 45n Absatz 4 Nummer 1 im Rahmen einer Rechtsverordnung erlassenen Regelungen sind auch dann anzuwenden, wenn versucht wird, sie durch anderweitige Gestaltungen zu umgehen.</w:t>
      </w:r>
    </w:p>
    <w:p>
      <w:r>
        <w:rPr>
          <w:color w:val="555555"/>
          <w:sz w:val="17"/>
        </w:rPr>
        <w:t xml:space="preserve">Zitiervorschlag: § 66m TKG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https://recht.nulegal.eu/gesetze/TKG%202004/66m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