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TKG 2004 — Nummerierung</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Die Bundesnetzagentur nimmt die Aufgaben der Nummerierung wahr. Ihr obliegt insbesondere die Strukturierung und Ausgestaltung des Nummernraumes mit dem Ziel, den Anforderungen von Endnutzern, Betreibern von Telekommunikationsnetzen und Anbietern von Telekommunikationsdiensten zu genügen. Die Bundesnetzagentur teilt ferner Nummern an Betreiber von Telekommunikationsnetzen, Anbieter von Telekommunikationsdiensten und Endnutzer zu. Ausgenommen ist die Verwaltung von Domänennamen oberster und nachgeordneter Stufen.</w:t>
      </w:r>
    </w:p>
    <w:p>
      <w:r>
        <w:t xml:space="preserve">(2) Die Bundesnetzagentur kann zur Umsetzung internationaler Verpflichtungen oder Empfehlungen sowie zur Sicherstellung der ausreichenden Verfügbarkeit von Nummern Änderungen der Struktur und Ausgestaltung des Nummernraumes und des nationalen Nummernplanes vornehmen. Dabei sind die Belange der Betroffenen, insbesondere die den Betreibern, Anbietern von Telekommunikationsdiensten und Nutzern entstehenden Umstellungskosten, angemessen zu berücksichtigen. Beabsichtigte Änderungen sind rechtzeitig vor ihrem Wirksamwerden bekannt zu geben. Die von diesen Änderungen betroffenen Betreiber von Telekommunikationsnetzen und Anbieter von Telekommunikationsdiensten sind verpflichtet, die zur Umsetzung erforderlichen Maßnahmen zu treffen.</w:t>
      </w:r>
    </w:p>
    <w:p>
      <w:r>
        <w:t xml:space="preserve">(3) Die Bundesnetzagentur kann zur Durchsetzung der Verpflichtungen nach Absatz 2 Anordnungen erlassen. Zur Durchsetzung der Anordnungen können nach Maßgabe des Verwaltungsvollstreckungsgesetzes Zwangsgelder bis zu 500 000 Euro festgesetzt werden.</w:t>
      </w:r>
    </w:p>
    <w:p>
      <w:r>
        <w:t xml:space="preserve">(4) Die Bundesregierung wird ermächtigt, durch Rechtsverordnung die Maßstäbe und Leitlinien für die Strukturierung, Ausgestaltung und Verwaltung der Nummernräume sowie für den Erwerb, Umfang und Verlust von Nutzungsrechten an Nummern festzulegen. Dies schließt auch die Umsetzung darauf bezogener internationaler Empfehlungen und Verpflichtungen in nationales Recht ein. Dabei sind insbesondere die effiziente Nummernnutzung, die Belange der Marktbeteiligten einschließlich der Planungssicherheit, die wirtschaftlichen Auswirkungen auf die Marktteilnehmer, die Anforderungen an die Nummernnutzung und die langfristige Bedarfsdeckung sowie die Interessen der Endnutzer zu berücksichtigen. In der Verordnung sind die Befugnisse der Bundesnetzagentur sowie die Rechte und Pflichten der Marktteilnehmer und der Endnutzer im Einzelnen festzulegen. Absatz 1 Satz 4 gilt entsprechend.</w:t>
      </w:r>
    </w:p>
    <w:p>
      <w:r>
        <w:t xml:space="preserve">(5) Ist im Vergabeverfahren für generische Domänen oberster Stufe für die Zuteilung oder Verwendung einer geografischen Bezeichnung, die mit dem Namen einer Gebietskörperschaft identisch ist, eine Einverständniserklärung oder Unbedenklichkeitsbescheinigung durch eine deutsche Regierungs- oder Verwaltungsstelle erforderlich, obliegt die Entscheidung über die Erteilung des Einverständnisses oder die Ausstellung einer Unbedenklichkeitsbescheinigung der nach dem jeweiligen Landesrecht zuständigen Stelle. Weisen mehrere Gebietskörperschaften identische Namen auf, liegt die Entscheidungsbefugnis bei der Gebietskörperschaft, die nach der Verkehrsauffassung die größte Bedeutung hat.</w:t>
      </w:r>
    </w:p>
    <w:p>
      <w:r>
        <w:rPr>
          <w:color w:val="555555"/>
          <w:sz w:val="17"/>
        </w:rPr>
        <w:t xml:space="preserve">Zitiervorschlag: § 66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