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60 TKG 2004 — Bestandteile der Frequenzzuteilung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Im Rahmen der Frequenzzuteilung sind insbesondere die Art und der Umfang der Frequenznutzung festzulegen, soweit dies zur Sicherung einer effizienten und störungsfreien Nutzung der Frequenzen erforderlich ist. Bei der Festlegung von Art und Umfang der Frequenzzuteilung sind internationale Vereinbarungen zur Frequenzkoordinierung zu beachten. Eine Nutzung zugeteilter Frequenzen darf nur mit Funkanlagen erfolgen, die für den Betrieb in der Bundesrepublik Deutschland vorgesehen bzw. gekennzeichnet sind.</w:t>
      </w:r>
    </w:p>
    <w:p>
      <w:r>
        <w:t xml:space="preserve">(2) Zur Sicherung einer effizienten und störungsfreien Nutzung der Frequenzen sowie der weiteren in § 2 genannten Regulierungsziele kann die Frequenzzuteilung mit Nebenbestimmungen versehen werden. Wird nach der Frequenzzuteilung festgestellt, dass auf Grund einer erhöhten Nutzung des Frequenzspektrums erhebliche Einschränkungen der Frequenznutzung auftreten oder dass auf Grund einer Weiterentwicklung der Technologien erhebliche Effizienzsteigerungen möglich sind, so können Art und Umfang der Frequenznutzung nach Absatz 1 nachträglich geändert werden. Sind Belange der Länder bei der Übertragung von Rundfunk im Zuständigkeitsbereich der Länder betroffen, ist auf der Grundlage der rundfunkrechtlichen Festlegungen das Benehmen mit der zuständigen Landesbehörde herzustellen.</w:t>
      </w:r>
    </w:p>
    <w:p>
      <w:r>
        <w:t xml:space="preserve">(3) Die Frequenzzuteilung kann Hinweise darauf enthalten, welche Parameter die Bundesnetzagentur den Festlegungen zu Art und Umfang der Frequenznutzung bezüglich der Empfangsanlagen zugrunde gelegt hat. Bei Nichteinhaltung der mitgeteilten Parameter wird die Bundesnetzagentur keinerlei Maßnahmen ergreifen, um Nachteilen zu begegnen.</w:t>
      </w:r>
    </w:p>
    <w:p>
      <w:r>
        <w:t xml:space="preserve">(4) Frequenzen, die der Übertragung von Rundfunk im Zuständigkeitsbereich der Länder dienen, werden im Benehmen mit der zuständigen Landesbehörde mit Auflagen zugeteilt, die sicherstellen, dass die rundfunkrechtlichen Belange der Länder berücksichtigt werden.</w:t>
      </w:r>
    </w:p>
    <w:p>
      <w:r>
        <w:rPr>
          <w:color w:val="555555"/>
          <w:sz w:val="17"/>
        </w:rPr>
        <w:t xml:space="preserve">Zitiervorschlag: § 60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https://recht.nulegal.eu/gesetze/TKG%202004/60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60 TKG 2004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