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TKG 2004 — Frequenznutzung</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Auf der Grundlage der Frequenzzuweisungen und Festlegungen in der Verordnung nach § 53 teilt die Bundesnetzagentur die Frequenzbereiche in Frequenznutzungen sowie darauf bezogene Nutzungsbestimmungen auf (Frequenzplan). Dabei beteiligt sie die betroffenen Bundes- und Landesbehörden, die betroffenen Kreise und die Öffentlichkeit und berücksichtigt die in § 2 genannten Regulierungsziele. Soweit Belange der öffentlichen Sicherheit und die dem Rundfunk auf der Grundlage der rundfunkrechtlichen Festlegungen zustehenden Kapazitäten für die Übertragung von Rundfunk im Zuständigkeitsbereich der Länder betroffen sind, stellt die Bundesnetzagentur das Einvernehmen mit den zuständigen Landesbehörden her. Die Frequenznutzung und die Nutzungsbestimmungen werden durch technische, betriebliche oder regulatorische Parameter beschrieben. Zu diesen Parametern können auch Angaben zu Nutzungsbeschränkungen und zu geplanten Nutzungen gehören. Der Frequenzplan sowie dessen Änderungen sind zu veröffentlichen.</w:t>
      </w:r>
    </w:p>
    <w:p>
      <w:r>
        <w:t xml:space="preserve">(2) Frequenzen für den drahtlosen Netzzugang zu Telekommunikationsdiensten sind unbeschadet von Absatz 3 so auszuweisen, dass alle hierfür vorgesehenen Technologien verwendet werden dürfen und alle Arten von Telekommunikationsdiensten zulässig sind.</w:t>
      </w:r>
    </w:p>
    <w:p>
      <w:r>
        <w:t xml:space="preserve">(3) § 53 Absatz 2 gilt entsprechend.</w:t>
      </w:r>
    </w:p>
    <w:p>
      <w:r>
        <w:rPr>
          <w:color w:val="555555"/>
          <w:sz w:val="17"/>
        </w:rPr>
        <w:t xml:space="preserve">Zitiervorschlag: § 54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