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TKG 2004 — Frequenzzuweisung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Bundesregierung wird ermächtigt, die Frequenzzuweisungen für die Bundesrepublik Deutschland sowie darauf bezogene weitere Festlegungen in einer Frequenzverordnung festzulegen. Die Frequenzverordnung bedarf der Zustimmung des Bundesrates. In die Vorbereitung sind die von Frequenzzuweisungen betroffenen Kreise einzubeziehen.</w:t>
      </w:r>
    </w:p>
    <w:p>
      <w:r>
        <w:t xml:space="preserve">(2) Bei der Frequenzzuweisung sind die einschlägigen internationalen Übereinkünfte, einschließlich der Vollzugsordnung für den Funkdienst (VO Funk), die europäische Harmonisierung und die technische Entwicklung zu berücksichtigen. Sind im Rahmen der Frequenzzuweisung auch Bestimmungen über Frequenznutzungen und darauf bezogene nähere Festlegungen betroffen, so sind Beschränkungen nur aus den in Artikel 9 Absatz 3 und 4 der Richtlinie 2002/21/EG genannten Gründen zulässig.</w:t>
      </w:r>
    </w:p>
    <w:p>
      <w:r>
        <w:rPr>
          <w:color w:val="555555"/>
          <w:sz w:val="17"/>
        </w:rPr>
        <w:t xml:space="preserve">Zitiervorschlag: § 53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