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TKG 2004 — Aufgaben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(1) Zur Sicherstellung einer effizienten und störungsfreien Nutzung von Frequenzen und unter Berücksichtigung der in § 2 genannten weiteren Regulierungsziele werden Frequenzbereiche zugewiesen und in Frequenznutzungen aufgeteilt, Frequenzen zugeteilt und Frequenznutzungen überwacht.</w:t>
      </w:r>
    </w:p>
    <w:p>
      <w:r>
        <w:t xml:space="preserve">(2) Die Bundesnetzagentur trifft Anordnungen bei Frequenznutzungen im Rahmen des Betriebs von Funkanlagen auf fremden Land-, Wasser- und Luftfahrzeugen, die sich im Geltungsbereich dieses Gesetzes aufhalten.</w:t>
      </w:r>
    </w:p>
    <w:p>
      <w:r>
        <w:t xml:space="preserve">(3) Für Frequenznutzungen, die in den Aufgabenbereich des Bundesministeriums der Verteidigung fallen, stellt das Bundesministerium für Verkehr und digitale Infrastruktur das Einvernehmen mit dem Bundesministerium der Verteidigung her.</w:t>
      </w:r>
    </w:p>
    <w:p>
      <w:r>
        <w:rPr>
          <w:color w:val="555555"/>
          <w:sz w:val="17"/>
        </w:rPr>
        <w:t xml:space="preserve">Zitiervorschlag: § 52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