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TKG 2004 — Interoperabilität von Fernseh- und Radiogeräten</w:t>
      </w:r>
    </w:p>
    <w:p>
      <w:r>
        <w:rPr>
          <w:color w:val="555555"/>
          <w:sz w:val="18"/>
        </w:rPr>
        <w:t xml:space="preserve">Telekommunikationsgesetz</w:t>
      </w:r>
    </w:p>
    <w:p>
      <w:r>
        <w:rPr>
          <w:color w:val="555555"/>
          <w:sz w:val="18"/>
        </w:rPr>
        <w:t xml:space="preserve">Historische Fassung: Stand 18.02.2020 bis 01.12.2021. Dies ist nicht die aktuelle Fassung.</w:t>
      </w:r>
    </w:p>
    <w:p>
      <w:r>
        <w:t xml:space="preserve">(1) Jedes zum Verkauf, zur Miete oder anderweitig angebotene analoge Fernsehgerät mit integriertem Bildschirm, dessen sichtbare Diagonale 42 Zentimeter überschreitet, muss mit mindestens einer von einer anerkannten europäischen Normenorganisation angenommenen Schnittstellenbuchse ausgestattet sein, die den Anschluss digitaler Fernsehempfangsgeräte ermöglicht.</w:t>
      </w:r>
    </w:p>
    <w:p>
      <w:r>
        <w:t xml:space="preserve">(2) Jedes zum Verkauf, zur Miete oder anderweitig angebotene digitale Fernsehempfangsgerät muss,</w:t>
      </w:r>
    </w:p>
    <w:p>
      <w:pPr>
        <w:ind w:left="420"/>
      </w:pPr>
      <w:r>
        <w:t xml:space="preserve">1. soweit es einen integrierten Bildschirm enthält, dessen sichtbare Diagonale 30 Zentimeter überschreitet, mit mindestens einer Schnittstellenbuchse ausgestattet sein, die von einer anerkannten europäischen Normenorganisation angenommen wurde oder einer gemeinsamen, branchenweiten, offenen Spezifikation entspricht und den Anschluss digitaler Fernsehempfangsgeräte sowie die Möglichkeit einer Zugangsberechtigung erlaubt,</w:t>
      </w:r>
    </w:p>
    <w:p>
      <w:pPr>
        <w:ind w:left="420"/>
      </w:pPr>
      <w:r>
        <w:t xml:space="preserve">2. soweit es eine Anwendungs-Programmierschnittstelle enthält, die Mindestanforderungen einer solchen Schnittstelle erfüllen, die von einer anerkannten europäischen Normenorganisation angenommen wurde oder einer gemeinsamen, branchenweiten, offenen Schnittstellenspezifikation entspricht und die Dritten unabhängig vom Übertragungsverfahren Herstellung und Betrieb eigener Anwendungen erlaubt.</w:t>
      </w:r>
    </w:p>
    <w:p>
      <w:r>
        <w:t xml:space="preserve">(3) Jedes zum Verkauf, zur Miete oder anderweitig angebotene digitale Fernsehempfangsgerät, das für den Empfang von konventionellen Fernsehsignalen und für eine Zugangsberechtigung vorgesehen ist, muss Signale darstellen können,</w:t>
      </w:r>
    </w:p>
    <w:p>
      <w:pPr>
        <w:ind w:left="420"/>
      </w:pPr>
      <w:r>
        <w:t xml:space="preserve">1. die einem einheitlichen europäischen Verschlüsselungsalgorithmus entsprechen, wie er von einer anerkannten europäischen Normenorganisation verwaltet wird,</w:t>
      </w:r>
    </w:p>
    <w:p>
      <w:pPr>
        <w:ind w:left="420"/>
      </w:pPr>
      <w:r>
        <w:t xml:space="preserve">2. die keine Zugangsberechtigung erfordern; bei Mietgeräten gilt dies nur, sofern die mietvertraglichen Bestimmungen vom Mieter eingehalten werden.</w:t>
      </w:r>
    </w:p>
    <w:p>
      <w:r>
        <w:t xml:space="preserve">(4) Jedes Autoradio, das in ein neues für die Personenbeförderung ausgelegtes und gebautes Kraftfahrzeug mit mindestens vier Rädern eingebaut wird, muss einen Empfänger nach dem jeweiligen Stand der Technik enthalten, der zumindest den Empfang und die Wiedergabe von Hörfunkdiensten unmittelbar ermöglicht, die über digitalen terrestrischen Rundfunk ausgestrahlt werden. Bei Empfängern, die den harmonisierten Normen oder Teilen davon entsprechen, deren Fundstellen im Amtsblatt der Europäischen Union veröffentlicht worden sind, wird die Konformität mit der Anforderung in Satz 1, die mit den betreffenden Normen oder Teilen davon übereinstimmt, angenommen.</w:t>
      </w:r>
    </w:p>
    <w:p>
      <w:r>
        <w:t xml:space="preserve">(5) Jedes für Verbraucher bestimmte, erstmalig zum Verkauf, zur Miete oder anderweitig auf dem Markt bereitgestellte, überwiegend für den Empfang von Ton-Rundfunk bestimmte Radiogerät, das den Programmnamen anzeigen kann und nicht Absatz 4 unterfällt, muss einen Empfänger enthalten, der zumindest den Empfang und die Wiedergabe digitaler Hörfunkdienste ermöglicht. Davon ausgenommen sind Bausätze für Funkanlagen, Geräte, die Teil einer Funkanlage des Amateurfunkdienstes sind und Geräte, bei denen der Hörfunkempfänger eine reine Nebenfunktion hat.</w:t>
      </w:r>
    </w:p>
    <w:p>
      <w:r>
        <w:rPr>
          <w:color w:val="555555"/>
          <w:sz w:val="17"/>
        </w:rPr>
        <w:t xml:space="preserve">Zitiervorschlag: § 48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