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TKG 2004 — Anbieterwechsel und Umzug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Anbieter von öffentlich zugänglichen Telekommunikationsdiensten und die Betreiber öffentlicher Telekommunikationsnetze müssen bei einem Anbieterwechsel sicherstellen, dass die Leistung des abgebenden Unternehmens gegenüber dem Teilnehmer nicht unterbrochen wird, bevor die vertraglichen und technischen Voraussetzungen für einen Anbieterwechsel vorliegen, es sei denn, der Teilnehmer verlangt dieses. Bei einem Anbieterwechsel darf der Dienst des Teilnehmers nicht länger als einen Kalendertag unterbrochen werden. Schlägt der Wechsel innerhalb dieser Frist fehl, gilt Satz 1 entsprechend.</w:t>
      </w:r>
    </w:p>
    <w:p>
      <w:r>
        <w:t xml:space="preserve">(2) Das abgebende Unternehmen hat ab Beendigung der vertraglich vereinbarten Leistung bis zum Ende der Leistungspflicht nach Absatz 1 Satz 1 gegenüber dem Teilnehmer einen Anspruch auf Entgeltzahlung. Die Höhe des Entgelts richtet sich nach den ursprünglich vereinbarten Vertragsbedingungen mit der Maßgabe, dass sich die vereinbarten Anschlussentgelte um 50 Prozent reduzieren, es sei denn, das abgebende Unternehmen weist nach, dass der Teilnehmer das Scheitern des Anbieterwechsels zu vertreten hat. Das abgebende Unternehmen hat im Fall des Absatzes 1 Satz 1 gegenüber dem Teilnehmer eine taggenaue Abrechnung vorzunehmen. Der Anspruch des aufnehmenden Unternehmens auf Entgeltzahlung gegenüber dem Teilnehmer entsteht nicht vor erfolgreichem Abschluss des Anbieterwechsels.</w:t>
      </w:r>
    </w:p>
    <w:p>
      <w:r>
        <w:t xml:space="preserve">(3) Um den Anbieterwechsel nach Absatz 1 zu gewährleisten, müssen Betreiber öffentlicher Telekommunikationsnetze in ihren Netzen insbesondere sicherstellen, dass Teilnehmer ihre Rufnummer unabhängig von dem Unternehmen, das den Telefondienst erbringt, wie folgt beibehalten können:</w:t>
      </w:r>
    </w:p>
    <w:p>
      <w:pPr>
        <w:ind w:left="420"/>
      </w:pPr>
      <w:r>
        <w:t xml:space="preserve">1. im Fall geografisch gebundener Rufnummern an einem bestimmten Standort und</w:t>
      </w:r>
    </w:p>
    <w:p>
      <w:pPr>
        <w:ind w:left="420"/>
      </w:pPr>
      <w:r>
        <w:t xml:space="preserve">2. im Fall nicht geografisch gebundener Rufnummern an jedem Standort.</w:t>
      </w:r>
    </w:p>
    <w:p>
      <w:r>
        <w:t xml:space="preserve">Die Regelung in Satz 1 gilt nur innerhalb der Nummernräume oder Nummerteilräume, die für einen Telefondienst festgelegt wurden. Insbesondere ist die Übertragung von Rufnummern für Telefondienste an festen Standorten zu solchen ohne festen Standort und umgekehrt unzulässig.</w:t>
      </w:r>
    </w:p>
    <w:p>
      <w:r>
        <w:t xml:space="preserve">(4) Um den Anbieterwechsel nach Absatz 1 zu gewährleisten, müssen Anbieter von öffentlich zugänglichen Telekommunikationsdiensten insbesondere sicherstellen, dass ihre Endnutzer ihnen zugeteilte Rufnummern bei einem Wechsel des Anbieters von öffentlich zugänglichen Telekommunikationsdiensten entsprechend Absatz 3 beibehalten können. Die technische Aktivierung der Rufnummer hat in jedem Fall innerhalb eines Kalendertages zu erfolgen. Für die Anbieter öffentlich zugänglicher Mobilfunkdienste gilt Satz 1 mit der Maßgabe, dass der Endnutzer jederzeit die Übertragung der zugeteilten Rufnummer verlangen kann. Der bestehende Vertrag zwischen Endnutzer und abgebendem Anbieter öffentlich zugänglicher Mobilfunkdienste bleibt davon unberührt; hierauf hat der aufnehmende Anbieter den Endnutzer vor Vertragsschluss in Textform hinzuweisen. Der abgebende Anbieter ist in diesem Fall verpflichtet, den Endnutzer zuvor über alle anfallenden Kosten zu informieren. Auf Verlangen hat der abgebende Anbieter dem Endnutzer eine neue Rufnummer zuzuteilen.</w:t>
      </w:r>
    </w:p>
    <w:p>
      <w:r>
        <w:t xml:space="preserve">(5) Dem Teilnehmer können nur die Kosten in Rechnung gestellt werden, die einmalig beim Wechsel entstehen. Das Gleiche gilt für die Kosten, die ein Netzbetreiber einem Anbieter von öffentlich zugänglichen Telekommunikationsdiensten in Rechnung stellt. Etwaige Entgelte unterliegen einer nachträglichen Regulierung nach Maßgabe des § 38 Absatz 2 bis 4.</w:t>
      </w:r>
    </w:p>
    <w:p>
      <w:r>
        <w:t xml:space="preserve">(6) Betreiber öffentlicher Telekommunikationsnetze haben in ihren Netzen sicherzustellen, dass alle Anrufe in den europäischen Telefonnummernraum ausgeführt werden.</w:t>
      </w:r>
    </w:p>
    <w:p>
      <w:r>
        <w:t xml:space="preserve">(7) Die Erklärung des Teilnehmers zur Einrichtung oder Änderung der Betreibervorauswahl oder die von ihm erteilte Vollmacht zur Abgabe dieser Erklärung bedarf der Textform.</w:t>
      </w:r>
    </w:p>
    <w:p>
      <w:r>
        <w:t xml:space="preserve">(8) Der Anbieter von öffentlich zugänglichen Telekommunikationsdiensten, der mit einem Verbraucher einen Vertrag über öffentlich zugängliche Telekommunikationsdienste geschlossen hat, ist verpflichtet, wenn der Verbraucher seinen Wohnsitz wechselt, die vertraglich geschuldete Leistung an dem neuen Wohnsitz des Verbrauchers ohne Änderung der vereinbarten Vertragslaufzeit und der sonstigen Vertragsinhalte zu erbringen, soweit diese dort angeboten wird. Der Anbieter kann ein angemessenes Entgelt für den durch den Umzug entstandenen Aufwand verlangen, das jedoch nicht höher sein darf als das für die Schaltung eines Neuanschlusses vorgesehene Entgelt. Wird die Leistung am neuen Wohnsitz nicht angeboten, ist der Verbraucher zur Kündigung des Vertrages unter Einhaltung einer Kündigungsfrist von drei Monaten zum Ende eines Kalendermonats berechtigt. In jedem Fall ist der Anbieter des öffentlich zugänglichen Telekommunikationsdienstes verpflichtet, den Anbieter des öffentlichen Telekommunikationsnetzes über den Auszug des Verbrauchers unverzüglich zu informieren, wenn der Anbieter des öffentlich zugänglichen Telekommunikationsdienstes Kenntnis vom Umzug des Verbrauchers erlangt hat.</w:t>
      </w:r>
    </w:p>
    <w:p>
      <w:r>
        <w:t xml:space="preserve">(9) Die Bundesnetzagentur kann die Einzelheiten des Verfahrens für den Anbieterwechsel und die Informationsverpflichtung nach Absatz 8 Satz 4 festlegen. Dabei ist insbesondere Folgendes zu berücksichtigen:</w:t>
      </w:r>
    </w:p>
    <w:p>
      <w:pPr>
        <w:ind w:left="420"/>
      </w:pPr>
      <w:r>
        <w:t xml:space="preserve">1. das Vertragsrecht,</w:t>
      </w:r>
    </w:p>
    <w:p>
      <w:pPr>
        <w:ind w:left="420"/>
      </w:pPr>
      <w:r>
        <w:t xml:space="preserve">2. die technische Entwicklung,</w:t>
      </w:r>
    </w:p>
    <w:p>
      <w:pPr>
        <w:ind w:left="420"/>
      </w:pPr>
      <w:r>
        <w:t xml:space="preserve">3. die Notwendigkeit, dem Teilnehmer die Kontinuität der Dienstleistung zu gewährleisten, und</w:t>
      </w:r>
    </w:p>
    <w:p>
      <w:pPr>
        <w:ind w:left="420"/>
      </w:pPr>
      <w:r>
        <w:t xml:space="preserve">4. erforderlichenfalls Maßnahmen, die sicherstellen, dass Teilnehmer während des gesamten Übertragungsverfahrens geschützt sind und nicht gegen ihren Willen auf einen anderen Anbieter umgestellt werden.</w:t>
      </w:r>
    </w:p>
    <w:p>
      <w:r>
        <w:t xml:space="preserve">Für Teilnehmer, die keine Verbraucher sind und mit denen der Anbieter von öffentlich zugänglichen Telekommunikationsdiensten eine Individualvereinbarung getroffen hat, kann die Bundesnetzagentur von Absatz 1 und 2 abweichende Regelungen treffen. Die Befugnisse nach Teil 2 dieses Gesetzes und nach § 77a Absatz 1 und Absatz 2 bleiben unberührt.</w:t>
      </w:r>
    </w:p>
    <w:p>
      <w:r>
        <w:rPr>
          <w:color w:val="555555"/>
          <w:sz w:val="17"/>
        </w:rPr>
        <w:t xml:space="preserve">Zitiervorschlag: § 46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