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45l TKG 2004 — Dauerschuldverhältnisse bei Kurzwahldiensten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Der Teilnehmer kann von dem Anbieter einer Dienstleistung, die zusätzlich zu einem öffentlich zugänglichen Telekommunikationsdienst erbracht wird, einen kostenlosen Hinweis verlangen, sobald dessen Entgeltansprüche aus Dauerschuldverhältnissen für Kurzwahldienste im jeweiligen Kalendermonat eine Summe von 20 Euro überschreiten. Der Anbieter ist nur zur unverzüglichen Absendung des Hinweises verpflichtet. Für Kalendermonate, vor deren Beginn der Teilnehmer einen Hinweis nach Satz 1 verlangt hat und in denen der Hinweis unterblieben ist, kann der Anbieter nach Satz 1 den 20 Euro überschreitenden Betrag nicht verlangen.</w:t>
      </w:r>
    </w:p>
    <w:p>
      <w:r>
        <w:t xml:space="preserve">(2) Der Teilnehmer kann ein Dauerschuldverhältnis für Kurzwahldienste zum Ende eines Abrechnungszeitraumes mit einer Frist von einer Woche gegenüber dem Anbieter kündigen. Der Abrechnungszeitraum darf die Dauer eines Monats nicht überschreiten. Abweichend von Satz 1 kann der Teilnehmer ein Dauerschuldverhältnis für Kurzwahldienste, das ereignisbasiert ist, jederzeit und ohne Einhaltung einer Frist gegenüber dem Anbieter kündigen.</w:t>
      </w:r>
    </w:p>
    <w:p>
      <w:r>
        <w:t xml:space="preserve">(3) Vor dem Abschluss von Dauerschuldverhältnissen für Kurzwahldienste, bei denen für die Entgeltansprüche des Anbieters jeweils der Eingang elektronischer Nachrichten beim Teilnehmer maßgeblich ist, hat der Anbieter dem Teilnehmer eine deutliche Information über die wesentlichen Vertragsbestandteile anzubieten. Zu den wesentlichen Vertragsbestandteilen gehören insbesondere der zu zahlende Preis einschließlich Steuern und Abgaben je eingehender Kurzwahlsendung, der Abrechnungszeitraum, die Höchstzahl der eingehenden Kurzwahlsendungen im Abrechnungszeitraum, sofern diese Angaben nach Art der Leistung möglich sind, das jederzeitige Kündigungsrecht sowie die notwendigen praktischen Schritte für eine Kündigung. Ein Dauerschuldverhältnis für Kurzwahldienste entsteht nicht, wenn der Teilnehmer den Erhalt der Informationen nach Satz 1 nicht bestätigt; dennoch geleistete Zahlungen des Teilnehmers an den Anbieter sind zurückzuzahlen.</w:t>
      </w:r>
    </w:p>
    <w:p>
      <w:r>
        <w:rPr>
          <w:color w:val="555555"/>
          <w:sz w:val="17"/>
        </w:rPr>
        <w:t xml:space="preserve">Zitiervorschlag: § 45l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