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45j TKG 2004 — Entgeltpflicht bei unrichtiger Ermittlung des Verbindungsaufkommens</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(1) Kann im Falle des § 45i Abs. 3 Satz 2 das tatsächliche Verbindungsaufkommen nicht festgestellt werden, hat der Anbieter von öffentlich zugänglichen Telekommunikationsdiensten gegen den Teilnehmer Anspruch auf den Betrag, den der Teilnehmer in den vorangegangenen sechs Abrechnungszeiträumen durchschnittlich als Entgelt für einen entsprechenden Zeitraum zu entrichten hatte. Dies gilt nicht, wenn der Teilnehmer nachweist, dass er in dem Abrechnungszeitraum den Netzzugang nicht oder in geringerem Umfang als nach der Durchschnittsberechnung genutzt hat. Die Sätze 1 und 2 gelten entsprechend, wenn nach den Umständen erhebliche Zweifel bleiben, ob dem Teilnehmer die Inanspruchnahme von Leistungen des Anbieters zugerechnet werden kann.</w:t>
      </w:r>
    </w:p>
    <w:p>
      <w:r>
        <w:t xml:space="preserve">(2) Soweit in der Geschäftsbeziehung zwischen Anbieter und Teilnehmer weniger als sechs Abrechnungszeiträume unbeanstandet geblieben sind, wird die Durchschnittsberechnung nach Absatz 1 auf die verbleibenden Abrechnungszeiträume gestützt. Bestand in den entsprechenden Abrechnungszeiträumen eines Vorjahres bei vergleichbaren Umständen durchschnittlich eine niedrigere Entgeltforderung, tritt dieser Betrag an die Stelle des nach Satz 1 berechneten Durchschnittsbetrags.</w:t>
      </w:r>
    </w:p>
    <w:p>
      <w:r>
        <w:t xml:space="preserve">(3) Fordert der Anbieter ein Entgelt auf der Grundlage einer Durchschnittsberechnung, so gilt das von dem Teilnehmer auf die beanstandete Forderung zu viel gezahlte Entgelt spätestens zwei Monate nach der Beanstandung als fällig.</w:t>
      </w:r>
    </w:p>
    <w:p>
      <w:r>
        <w:rPr>
          <w:color w:val="555555"/>
          <w:sz w:val="17"/>
        </w:rPr>
        <w:t xml:space="preserve">Zitiervorschlag: § 45j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https://recht.nulegal.eu/gesetze/TKG%202004/45j</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