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45d TKG 2004 — Netzzugang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Zugang zu öffentlichen Telekommunikationsnetzen an festen Standorten ist an einer mit dem Teilnehmer zu vereinbarenden, geeigneten Stelle zu installieren. Dieser Zugang ist ein passiver Netzabschlusspunkt; das öffentliche Telekommunikationsnetz endet am passiven Netzabschlusspunkt.</w:t>
      </w:r>
    </w:p>
    <w:p>
      <w:r>
        <w:t xml:space="preserve">(2) Der Teilnehmer kann von dem Anbieter öffentlich zugänglicher Telefondienste und von dem Anbieter des Anschlusses an das öffentliche Telekommunikationsnetz verlangen, dass die Nutzung seines Netzzugangs für bestimmte Rufnummernbereiche im Sinne von § 3 Nummer 18a unentgeltlich netzseitig gesperrt wird, soweit dies technisch möglich ist. Die Freischaltung der gesperrten Rufnummernbereiche kann kostenpflichtig sein.</w:t>
      </w:r>
    </w:p>
    <w:p>
      <w:r>
        <w:t xml:space="preserve">(3) Der Teilnehmer kann von dem Anbieter öffentlich zugänglicher Mobilfunkdienste und von dem Anbieter des Anschlusses an das öffentliche Mobilfunknetz verlangen, dass die Identifizierung seines Mobilfunkanschlusses zur Inanspruchnahme und Abrechnung einer neben der Verbindung erbrachten Leistung unentgeltlich netzseitig gesperrt wird.</w:t>
      </w:r>
    </w:p>
    <w:p>
      <w:r>
        <w:t xml:space="preserve">(4) Die Bundesnetzagentur legt nach Anhörung der betroffenen Unternehmen, Fachkreise und Verbraucherverbände Verfahren fest, die die Anbieter öffentlich zugänglicher Mobilfunkdienste und die Anbieter des Anschlusses an das öffentliche Mobilfunknetz anwenden müssen, um die Identifizierung eines Mobilfunkanschlusses zur Inanspruchnahme und Abrechnung einer neben der Verbindung erbrachten Leistung zu nutzen. Diese Verfahren sollen den Teilnehmer wirksam davor schützen, dass eine neben der Verbindung erbrachte Leistung gegen seinen Willen in Anspruch genommen und abgerechnet wird. Die Bundesnetzagentur veröffentlicht die Verfahren und überprüft sie in regelmäßigen Abständen auf ihre Wirksamkeit.</w:t>
      </w:r>
    </w:p>
    <w:p>
      <w:r>
        <w:rPr>
          <w:color w:val="555555"/>
          <w:sz w:val="17"/>
        </w:rPr>
        <w:t xml:space="preserve">Zitiervorschlag: § 45d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