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45c TKG 2004 — Normgerechte technische Dienstleistung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Der Anbieter von öffentlich zugänglichen Telekommunikationsdiensten ist gegenüber dem Teilnehmer verpflichtet, die nach Artikel 17 Absatz 4 der Richtlinie 2002/21/EG verbindlich geltenden Normen für und die technischen Anforderungen an die Bereitstellung von Telekommunikation für Endnutzer einzuhalten.</w:t>
      </w:r>
    </w:p>
    <w:p>
      <w:r>
        <w:t xml:space="preserve">(2) Die Bundesnetzagentur soll auf die verbindlichen Normen und technischen Anforderungen in Veröffentlichungen hinweisen.</w:t>
      </w:r>
    </w:p>
    <w:p>
      <w:r>
        <w:rPr>
          <w:color w:val="555555"/>
          <w:sz w:val="17"/>
        </w:rPr>
        <w:t xml:space="preserve">Zitiervorschlag: § 45c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https://recht.nulegal.eu/gesetze/TKG%202004/45c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