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TKG 2004 — Nutzung von Grundstücken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Ein Anbieter von öffentlich zugänglichen Telekommunikationsdiensten, der einen Zugang zu einem öffentlichen Telekommunikationsnetz anbietet, darf den Vertrag mit dem Teilnehmer ohne Einhaltung einer Frist kündigen, wenn der Teilnehmer auf Verlangen des Anbieters nicht innerhalb eines Monats den Antrag des dinglich Berechtigten auf Abschluss eines Vertrags zu einer Nutzung des Grundstücks nach der Anlage zu diesem Gesetz (Nutzungsvertrag) vorlegt oder der dinglich Berechtigte den Nutzungsvertrag kündigt.</w:t>
      </w:r>
    </w:p>
    <w:p>
      <w:r>
        <w:t xml:space="preserve">(2) Sind der Antrag fristgerecht vorgelegt und ein früherer Nutzungsvertrag nicht gekündigt worden, darf der Teilnehmer den Vertrag ohne Einhaltung einer Frist kündigen, wenn der Anbieter von öffentlich zugänglichen Telekommunikationsdiensten den Antrag des Eigentümers auf Abschluss eines Nutzungsvertrags diesem gegenüber nicht innerhalb eines Monats durch Übersendung des von ihm unterschriebenen Vertrags annimmt.</w:t>
      </w:r>
    </w:p>
    <w:p>
      <w:r>
        <w:t xml:space="preserve">(3) Sofern der Eigentümer keinen weiteren Nutzungsvertrag geschlossen hat und eine Mitbenutzung vorhandener Leitungen und Vorrichtungen des Anbieters von öffentlich zugänglichen Telekommunikationsdiensten durch einen weiteren Anbieter nicht die vertragsgemäße Erfüllung der Verpflichtungen des Anbieters gefährdet oder beeinträchtigt, hat der aus dem Nutzungsvertrag berechtigte Anbieter einem anderen Anbieter auf Verlangen die Mitbenutzung der auf dem Grundstück und in den darauf befindlichen Gebäuden verlegten Leitungen und angebrachten Vorrichtungen des Anbieters zu gewähren. Der Anbieter darf für die Mitbenutzung ein Entgelt erheben, das sich an den Kosten der effizienten Leistungsbereitstellung orientiert.</w:t>
      </w:r>
    </w:p>
    <w:p>
      <w:r>
        <w:t xml:space="preserve">(4) Geht das Eigentum des Grundstücks auf einen Dritten über, gilt § 566 des Bürgerlichen Gesetzbuchs entsprechend.</w:t>
      </w:r>
    </w:p>
    <w:p>
      <w:r>
        <w:rPr>
          <w:color w:val="555555"/>
          <w:sz w:val="17"/>
        </w:rPr>
        <w:t xml:space="preserve">Zitiervorschlag: § 45a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