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TKG 2004 — Anspruch auf Schadensersatz und Unterlassung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Unternehmen, das gegen dieses Gesetz, eine auf Grund dieses Gesetzes erlassene Rechtsverordnung, eine auf Grund dieses Gesetzes in einer Zuteilung auferlegte Verpflichtung oder eine Verfügung der Bundesnetzagentur verstößt, ist dem Betroffenen zur Beseitigung und bei Wiederholungsgefahr zur Unterlassung verpflichtet. Der Anspruch besteht bereits dann, wenn eine Zuwiderhandlung droht. Betroffen ist, wer als Endverbraucher oder Wettbewerber durch den Verstoß beeinträchtigt ist. Fällt dem Unternehmen Vorsatz oder Fahrlässigkeit zur Last, ist es einem Endverbraucher oder einem Wettbewerber auch zum Ersatz des Schadens verpflichtet, der ihm aus dem Verstoß entstanden ist. Geldschulden nach Satz 4 hat das Unternehmen ab Eintritt des Schadens zu verzinsen. Die §§ 288 und 289 Satz 1 des Bürgerlichen Gesetzbuchs finden entsprechende Anwendung.</w:t>
      </w:r>
    </w:p>
    <w:p>
      <w:r>
        <w:t xml:space="preserve">(2) Wer in anderer Weise als durch Verwendung oder Empfehlung von Allgemeinen Geschäftsbedingungen gegen Vorschriften dieses Gesetzes oder Vorschriften einer auf Grund dieses Gesetzes erlassenen Rechtsverordnung verstößt, die dem Schutz der Verbraucher dienen, kann im Interesse des Verbraucherschutzes von den in § 3 des Unterlassungsklagengesetzes genannten Stellen in Anspruch genommen werden. Werden die Zuwiderhandlungen in einem geschäftlichen Betrieb von einem Angestellten oder einem Beauftragten begangen, so ist der Unterlassungsanspruch auch gegen den Inhaber des Betriebes begründet. Im Übrigen bleibt das Unterlassungsklagengesetz unberührt.</w:t>
      </w:r>
    </w:p>
    <w:p>
      <w:r>
        <w:rPr>
          <w:color w:val="555555"/>
          <w:sz w:val="17"/>
        </w:rPr>
        <w:t xml:space="preserve">Zitiervorschlag: § 44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