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TKG 2004 — Verträge</w:t>
      </w:r>
    </w:p>
    <w:p>
      <w:r>
        <w:rPr>
          <w:color w:val="555555"/>
          <w:sz w:val="18"/>
        </w:rPr>
        <w:t xml:space="preserve">Telekommunikationsgesetz</w:t>
      </w:r>
    </w:p>
    <w:p>
      <w:r>
        <w:rPr>
          <w:color w:val="555555"/>
          <w:sz w:val="18"/>
        </w:rPr>
        <w:t xml:space="preserve">Historische Fassung: Stand 18.02.2020 bis 01.12.2021. Dies ist nicht die aktuelle Fassung.</w:t>
      </w:r>
    </w:p>
    <w:p>
      <w:r>
        <w:t xml:space="preserve">(1) Anbieter von öffentlich zugänglichen Telekommunikationsdiensten müssen dem Verbraucher und auf Verlangen anderen Endnutzern im Vertrag in klarer, umfassender und leicht zugänglicher Form folgende Informationen zur Verfügung stellen:</w:t>
      </w:r>
    </w:p>
    <w:p>
      <w:pPr>
        <w:ind w:left="420"/>
      </w:pPr>
      <w:r>
        <w:t xml:space="preserve">1. den Namen und die ladungsfähige Anschrift; ist der Anbieter eine juristische Person auch die Rechtsform, den Sitz und das zuständige Registergericht,</w:t>
      </w:r>
    </w:p>
    <w:p>
      <w:pPr>
        <w:ind w:left="420"/>
      </w:pPr>
      <w:r>
        <w:t xml:space="preserve">2. die Art und die wichtigsten technischen Leistungsdaten der angebotenen Telekommunikationsdienste, insbesondere diejenigen gemäß Absatz 2 und Absatz 3 Satz 1,</w:t>
      </w:r>
    </w:p>
    <w:p>
      <w:pPr>
        <w:ind w:left="420"/>
      </w:pPr>
      <w:r>
        <w:t xml:space="preserve">3. die voraussichtliche Dauer bis zur Bereitstellung eines Anschlusses,</w:t>
      </w:r>
    </w:p>
    <w:p>
      <w:pPr>
        <w:ind w:left="420"/>
      </w:pPr>
      <w:r>
        <w:t xml:space="preserve">4. die angebotenen Wartungs- und Kundendienste sowie die Möglichkeiten zur Kontaktaufnahme mit diesen Diensten,</w:t>
      </w:r>
    </w:p>
    <w:p>
      <w:pPr>
        <w:ind w:left="420"/>
      </w:pPr>
      <w:r>
        <w:t xml:space="preserve">5. Einzelheiten zu den Preisen der angebotenen Telekommunikationsdienste,</w:t>
      </w:r>
    </w:p>
    <w:p>
      <w:pPr>
        <w:ind w:left="420"/>
      </w:pPr>
      <w:r>
        <w:t xml:space="preserve">6. die Fundstelle eines allgemein zugänglichen, vollständigen und gültigen Preisverzeichnisses des Anbieters von öffentlich zugänglichen Telekommunikationsdiensten,</w:t>
      </w:r>
    </w:p>
    <w:p>
      <w:pPr>
        <w:ind w:left="420"/>
      </w:pPr>
      <w:r>
        <w:t xml:space="preserve">7. die Vertragslaufzeit, einschließlich des Mindestumfangs und der Mindestdauer der Nutzung, die gegebenenfalls erforderlich sind, um Angebote im Rahmen von Werbemaßnahmen nutzen zu können,</w:t>
      </w:r>
    </w:p>
    <w:p>
      <w:pPr>
        <w:ind w:left="420"/>
      </w:pPr>
      <w:r>
        <w:t xml:space="preserve">8. die Voraussetzungen für die Verlängerung und Beendigung des Bezuges einzelner Dienste und des gesamten Vertragsverhältnisses, einschließlich der Voraussetzungen für einen Anbieterwechsel nach § 46, die Entgelte für die Übertragung von Nummern und anderen Teilnehmerkennungen sowie die bei Beendigung des Vertragsverhältnisses fälligen Entgelte einschließlich einer Kostenanlastung für Endeinrichtungen,</w:t>
      </w:r>
    </w:p>
    <w:p>
      <w:pPr>
        <w:ind w:left="420"/>
      </w:pPr>
      <w:r>
        <w:t xml:space="preserve">9. etwaige Entschädigungs- und Erstattungsregelungen für den Fall, dass der Anbieter die wichtigsten technischen Leistungsdaten der zu erbringenden Dienste nicht eingehalten hat,</w:t>
      </w:r>
    </w:p>
    <w:p>
      <w:pPr>
        <w:ind w:left="420"/>
      </w:pPr>
      <w:r>
        <w:t xml:space="preserve">10. die erforderlichen Schritte zur Einleitung eines außergerichtlichen Streitbeilegungsverfahrens nach § 47a,</w:t>
      </w:r>
    </w:p>
    <w:p>
      <w:pPr>
        <w:ind w:left="420"/>
      </w:pPr>
      <w:r>
        <w:t xml:space="preserve">11. den Anspruch des Teilnehmers auf Aufnahme seiner Daten in ein öffentliches Teilnehmerverzeichnis nach § 45m,</w:t>
      </w:r>
    </w:p>
    <w:p>
      <w:pPr>
        <w:ind w:left="420"/>
      </w:pPr>
      <w:r>
        <w:t xml:space="preserve">12. die Arten von Maßnahmen, mit denen das Unternehmen auf Sicherheits- oder Integritätsverletzungen oder auf Bedrohungen und Schwachstellen reagieren kann,</w:t>
      </w:r>
    </w:p>
    <w:p>
      <w:pPr>
        <w:ind w:left="420"/>
      </w:pPr>
      <w:r>
        <w:t xml:space="preserve">13. den Anspruch auf Sperrung bestimmter Rufnummernbereiche nach § 45d Absatz 2 Satz 1 und</w:t>
      </w:r>
    </w:p>
    <w:p>
      <w:pPr>
        <w:ind w:left="420"/>
      </w:pPr>
      <w:r>
        <w:t xml:space="preserve">14. den Anspruch auf Sperrung der Inanspruchnahme und Abrechnung von neben der Verbindung erbrachten Leistungen über den Mobilfunkanschluss nach § 45d Absatz 3.</w:t>
      </w:r>
    </w:p>
    <w:p>
      <w:r>
        <w:t xml:space="preserve">Anbieter öffentlicher Telekommunikationsnetze sind dazu verpflichtet, Anbietern öffentlich zugänglicher Telekommunikationsdienste die für die Sicherstellung der in Satz 1 genannten Informationspflichten benötigten Informationen zur Verfügung zu stellen, wenn ausschließlich die Anbieter von öffentlichen Telekommunikationsnetzen darüber verfügen.</w:t>
      </w:r>
    </w:p>
    <w:p>
      <w:r>
        <w:t xml:space="preserve">(2) Zu den Informationen nach Absatz 1 Nummer 2 gehören</w:t>
      </w:r>
    </w:p>
    <w:p>
      <w:pPr>
        <w:ind w:left="420"/>
      </w:pPr>
      <w:r>
        <w:t xml:space="preserve">1. Informationen darüber, ob der Zugang zu Notdiensten mit Angaben zum Anruferstandort besteht oder nicht, und über alle Beschränkungen von Notdiensten,</w:t>
      </w:r>
    </w:p>
    <w:p>
      <w:pPr>
        <w:ind w:left="420"/>
      </w:pPr>
      <w:r>
        <w:t xml:space="preserve">2. Informationen über alle Einschränkungen im Hinblick auf den Zugang zu und die Nutzung von Diensten und Anwendungen,</w:t>
      </w:r>
    </w:p>
    <w:p>
      <w:pPr>
        <w:ind w:left="420"/>
      </w:pPr>
      <w:r>
        <w:t xml:space="preserve">3. das angebotene Mindestniveau der Dienstqualität und gegebenenfalls anderer nach § 41a festgelegter Parameter für die Dienstqualität,</w:t>
      </w:r>
    </w:p>
    <w:p>
      <w:pPr>
        <w:ind w:left="420"/>
      </w:pPr>
      <w:r>
        <w:t xml:space="preserve">4. Informationen über alle vom Unternehmen zur Messung und Kontrolle des Datenverkehrs eingerichteten Verfahren, um eine Kapazitätsauslastung oder Überlastung einer Netzverbindung zu vermeiden, und Informationen über die möglichen Auswirkungen dieser Verfahren auf die Dienstqualität und</w:t>
      </w:r>
    </w:p>
    <w:p>
      <w:pPr>
        <w:ind w:left="420"/>
      </w:pPr>
      <w:r>
        <w:t xml:space="preserve">5. alle vom Anbieter auferlegten Beschränkungen für die Nutzung der von ihm zur Verfügung gestellten Endeinrichtungen.</w:t>
      </w:r>
    </w:p>
    <w:p>
      <w:r>
        <w:t xml:space="preserve">(3) Die Einzelheiten darüber, welche Angaben in der Regel mindestens nach Absatz 2 erforderlich sind, kann die Bundesnetzagentur nach Beteiligung der betroffenen Verbände und der Unternehmen durch Verfügung im Amtsblatt festlegen. Hierzu kann die Bundesnetzagentur die Anbieter öffentlich zugänglicher Telekommunikationsdienste oder die Anbieter öffentlicher Telekommunikationsnetze verpflichten, Erhebungen zum tatsächlichen Mindestniveau der Dienstqualität anzustellen, eigene Messungen anstellen oder Hilfsmittel entwickeln, die es dem Teilnehmer ermöglichen, eigenständige Messungen anzustellen. Die Bundesnetzagentur veröffentlicht jährlich einen Bericht über ihre Erhebungen und Erkenntnisse, in dem insbesondere dargestellt wird,</w:t>
      </w:r>
    </w:p>
    <w:p>
      <w:pPr>
        <w:ind w:left="420"/>
      </w:pPr>
      <w:r>
        <w:t xml:space="preserve">1. inwiefern die Anbieter von öffentlich zugänglichen Telekommunikationsdiensten die Informationen zur Verfügung stellen, die nach Absatz 2 und nach Artikel 4 Absatz 1 der Verordnung (EU) 2015/2120 des Europäischen Parlaments und des Rates vom 25. November 2015 über Maßnahmen zum Zugang zum offenen Internet und zu Endkundenentgelten für regulierte intra-EU-Kommunikation sowie zur Änderung der Richtlinie 2002/22/EG und der Verordnung (EU) Nr. 531/2012 (ABl. L 310 vom 26.11.2015, S. 1), die zuletzt durch die Verordnung (EU) 2018/1971 (ABl. L 321 vom 17.12.2018, S. 1) geändert worden ist, in der jeweils geltenden Fassung erforderlich sind,</w:t>
      </w:r>
    </w:p>
    <w:p>
      <w:pPr>
        <w:ind w:left="420"/>
      </w:pPr>
      <w:r>
        <w:t xml:space="preserve">2. inwiefern erhebliche, kontinuierliche oder regelmäßig wiederkehrende Abweichungen zwischen der nach Satz 2 gemessenen Dienstqualität und den nach Artikel 4 Absatz 1 Unterabsatz 1 Buchstabe d der Verordnung (EU) 2015/2120 im Vertrag enthaltenen Angaben festgestellt wurden und</w:t>
      </w:r>
    </w:p>
    <w:p>
      <w:pPr>
        <w:ind w:left="420"/>
      </w:pPr>
      <w:r>
        <w:t xml:space="preserve">3. inwiefern Anforderungen und Maßnahmen nach Artikel 5 Absatz 1 Unterabsatz 1 Satz 2 der Verordnung (EU) 2015/2120 notwendig und wirksam sind.</w:t>
      </w:r>
    </w:p>
    <w:p>
      <w:r>
        <w:t xml:space="preserve">Ferner kann die Bundesnetzagentur das Format der Mitteilung über Vertragsänderungen und die anzugebende Information über das Widerrufsrecht festlegen, soweit nicht bereits vergleichbare Regelungen bestehen.</w:t>
      </w:r>
    </w:p>
    <w:p>
      <w:r>
        <w:rPr>
          <w:color w:val="555555"/>
          <w:sz w:val="17"/>
        </w:rPr>
        <w:t xml:space="preserve">Zitiervorschlag: § 43a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