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TKG 2004 — Freiwillige Trennung durch ein vertikal integriertes Unternehmen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Unternehmen, die nach § 11 auf einem oder mehreren relevanten Märkten als Unternehmen mit beträchtlicher Marktmacht eingestuft wurden, unterrichten die Bundesnetzagentur im Voraus und so rechtzeitig, dass sie die Wirkung der geplanten Transaktion einschätzen kann, von ihrer Absicht, die Anlagen ihres Ortsanschlussnetzes ganz oder zu einem großen Teil auf eine eigene Rechtsperson mit einem anderen Eigentümer zu übertragen oder einen getrennten Geschäftsbereich einzurichten, um allen Anbietern auf der Endkundenebene, einschließlich der eigenen im Endkundenbereich tätigen Unternehmensbereiche, völlig gleichwertige Zugangsprodukte zu liefern. Die Unternehmen unterrichten die Bundesnetzagentur auch über alle Änderungen dieser Absicht sowie über das Ergebnis des Trennungsprozesses.</w:t>
      </w:r>
    </w:p>
    <w:p>
      <w:r>
        <w:t xml:space="preserve">(2) Die Bundesnetzagentur prüft die möglichen Folgen der beabsichtigten Transaktion auf die bestehenden Verpflichtungen nach den Abschnitten 2 und 3. Hierzu führt sie entsprechend dem Verfahren des § 11 eine koordinierte Analyse der Märkte durch, bei denen eine Verbindung zum Anschlussnetz besteht. Auf der Grundlage ihrer Bewertung erlegt die Bundesnetzagentur nach § 13 Verpflichtungen auf, behält Verpflichtungen bei, ändert sie oder hebt sie auf.</w:t>
      </w:r>
    </w:p>
    <w:p>
      <w:r>
        <w:t xml:space="preserve">(3) Dem rechtlich oder betrieblich getrennten Geschäftsbereich kann auf jedem Einzelmarkt, auf dem er als Unternehmen mit beträchtlicher Marktmacht nach § 11 eingestuft wurde, jede der Verpflichtungen nach den §§ 19, 20, 21, 23, 24, 30, 39 oder § 42 Absatz 4 Satz 3 auferlegt werden.</w:t>
      </w:r>
    </w:p>
    <w:p>
      <w:r>
        <w:rPr>
          <w:color w:val="555555"/>
          <w:sz w:val="17"/>
        </w:rPr>
        <w:t xml:space="preserve">Zitiervorschlag: § 41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